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F0900" w14:textId="77777777" w:rsidR="000719BB" w:rsidRDefault="000719BB" w:rsidP="006C2343">
      <w:pPr>
        <w:pStyle w:val="Titul2"/>
      </w:pPr>
    </w:p>
    <w:p w14:paraId="7258EFC8" w14:textId="77777777" w:rsidR="00826B7B" w:rsidRDefault="00826B7B" w:rsidP="006C2343">
      <w:pPr>
        <w:pStyle w:val="Titul2"/>
      </w:pPr>
    </w:p>
    <w:p w14:paraId="58F3C0FE" w14:textId="77777777" w:rsidR="00DA1C67" w:rsidRDefault="00DA1C67" w:rsidP="006C2343">
      <w:pPr>
        <w:pStyle w:val="Titul2"/>
      </w:pPr>
    </w:p>
    <w:p w14:paraId="1A3FBB80" w14:textId="77777777" w:rsidR="003254A3" w:rsidRPr="000719BB" w:rsidRDefault="00BD76C3" w:rsidP="006C2343">
      <w:pPr>
        <w:pStyle w:val="Titul2"/>
      </w:pPr>
      <w:r>
        <w:t>Příloha č. 2 c)</w:t>
      </w:r>
    </w:p>
    <w:p w14:paraId="1A08CE35" w14:textId="661CB602" w:rsidR="003254A3" w:rsidRDefault="003254A3" w:rsidP="00AD0C7B">
      <w:pPr>
        <w:pStyle w:val="Titul2"/>
      </w:pPr>
    </w:p>
    <w:p w14:paraId="5EDB7D4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2561E536" w14:textId="77777777" w:rsidR="00AD0C7B" w:rsidRDefault="00AD0C7B" w:rsidP="00EB46E5">
      <w:pPr>
        <w:pStyle w:val="Titul2"/>
      </w:pPr>
    </w:p>
    <w:p w14:paraId="37A308FB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049C6027" w14:textId="77777777" w:rsidR="002007BA" w:rsidRDefault="002007BA" w:rsidP="006C2343">
      <w:pPr>
        <w:pStyle w:val="Tituldatum"/>
      </w:pPr>
    </w:p>
    <w:p w14:paraId="605CCAF1" w14:textId="0385BD40" w:rsidR="00BF54FE" w:rsidRDefault="009E67C4" w:rsidP="006C2343">
      <w:pPr>
        <w:pStyle w:val="Tituldatum"/>
      </w:pPr>
      <w:r w:rsidRPr="009E67C4">
        <w:rPr>
          <w:rStyle w:val="Nzevakce"/>
        </w:rPr>
        <w:t>Obvod OŘ - JMK - Opravy a údržba elektroinstalace objektů</w:t>
      </w:r>
      <w:r>
        <w:rPr>
          <w:rStyle w:val="Nzevakce"/>
        </w:rPr>
        <w:t xml:space="preserve"> - projekty</w:t>
      </w:r>
    </w:p>
    <w:p w14:paraId="62E279C2" w14:textId="77777777" w:rsidR="009226C1" w:rsidRDefault="009226C1" w:rsidP="006C2343">
      <w:pPr>
        <w:pStyle w:val="Tituldatum"/>
      </w:pPr>
    </w:p>
    <w:p w14:paraId="2565EB22" w14:textId="77777777" w:rsidR="00DA1C67" w:rsidRDefault="00DA1C67" w:rsidP="006C2343">
      <w:pPr>
        <w:pStyle w:val="Tituldatum"/>
      </w:pPr>
    </w:p>
    <w:p w14:paraId="51FA4128" w14:textId="77777777" w:rsidR="00DA1C67" w:rsidRDefault="00DA1C67" w:rsidP="006C2343">
      <w:pPr>
        <w:pStyle w:val="Tituldatum"/>
      </w:pPr>
    </w:p>
    <w:p w14:paraId="08A27227" w14:textId="77777777" w:rsidR="003B111D" w:rsidRDefault="003B111D" w:rsidP="006C2343">
      <w:pPr>
        <w:pStyle w:val="Tituldatum"/>
      </w:pPr>
    </w:p>
    <w:p w14:paraId="5B01F4BE" w14:textId="54AD47DC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5B7C87">
        <w:t>6.9.2021</w:t>
      </w:r>
      <w:proofErr w:type="gramEnd"/>
      <w:r w:rsidR="0076790E">
        <w:t xml:space="preserve"> </w:t>
      </w:r>
    </w:p>
    <w:p w14:paraId="75170E2A" w14:textId="77777777" w:rsidR="00826B7B" w:rsidRDefault="00826B7B">
      <w:r>
        <w:br w:type="page"/>
      </w:r>
    </w:p>
    <w:p w14:paraId="70D2AB7D" w14:textId="77777777" w:rsidR="00DA1C67" w:rsidRDefault="00DA1C67" w:rsidP="00DA1C67"/>
    <w:p w14:paraId="5D09CA20" w14:textId="77777777" w:rsidR="00DA1C67" w:rsidRDefault="00DA1C67"/>
    <w:p w14:paraId="5B9C273B" w14:textId="77777777" w:rsidR="00DA1C67" w:rsidRDefault="00DA1C67"/>
    <w:p w14:paraId="1099FB12" w14:textId="77777777" w:rsidR="00DA1C67" w:rsidRDefault="00DA1C67"/>
    <w:p w14:paraId="7E41A5F2" w14:textId="77777777" w:rsidR="00DA1C67" w:rsidRDefault="00DA1C67">
      <w:r>
        <w:br w:type="page"/>
      </w:r>
    </w:p>
    <w:p w14:paraId="37882EE6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7E7BFC4D" w14:textId="77777777" w:rsidR="00BC51B8" w:rsidRPr="00A51A89" w:rsidRDefault="00BD7E91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1501942" w:history="1">
        <w:r w:rsidR="00BC51B8" w:rsidRPr="001A03B5">
          <w:rPr>
            <w:rStyle w:val="Hypertextovodkaz"/>
          </w:rPr>
          <w:t>SEZNAM ZKRATEK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3</w:t>
        </w:r>
        <w:r w:rsidR="00BC51B8">
          <w:rPr>
            <w:noProof/>
            <w:webHidden/>
          </w:rPr>
          <w:fldChar w:fldCharType="end"/>
        </w:r>
      </w:hyperlink>
    </w:p>
    <w:p w14:paraId="758B1280" w14:textId="77777777" w:rsidR="00BC51B8" w:rsidRPr="00A51A89" w:rsidRDefault="00545031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3" w:history="1">
        <w:r w:rsidR="00BC51B8" w:rsidRPr="001A03B5">
          <w:rPr>
            <w:rStyle w:val="Hypertextovodkaz"/>
          </w:rPr>
          <w:t>1.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SPECIFIKACE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7351B481" w14:textId="77777777" w:rsidR="00BC51B8" w:rsidRPr="00A51A89" w:rsidRDefault="0054503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4" w:history="1">
        <w:r w:rsidR="00BC51B8" w:rsidRPr="001A03B5">
          <w:rPr>
            <w:rStyle w:val="Hypertextovodkaz"/>
          </w:rPr>
          <w:t>1.1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Účel a rozsah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2086AA62" w14:textId="77777777" w:rsidR="00BC51B8" w:rsidRPr="00A51A89" w:rsidRDefault="0054503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5" w:history="1">
        <w:r w:rsidR="00BC51B8" w:rsidRPr="001A03B5">
          <w:rPr>
            <w:rStyle w:val="Hypertextovodkaz"/>
          </w:rPr>
          <w:t>1.2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Umístění stavby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69432C45" w14:textId="77777777" w:rsidR="00BC51B8" w:rsidRPr="00A51A89" w:rsidRDefault="00545031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6" w:history="1">
        <w:r w:rsidR="00BC51B8" w:rsidRPr="001A03B5">
          <w:rPr>
            <w:rStyle w:val="Hypertextovodkaz"/>
          </w:rPr>
          <w:t>2.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PŘEHLED VÝCHOZÍCH PODKLADŮ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51063585" w14:textId="77777777" w:rsidR="00BC51B8" w:rsidRPr="00A51A89" w:rsidRDefault="0054503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7" w:history="1">
        <w:r w:rsidR="00BC51B8" w:rsidRPr="001A03B5">
          <w:rPr>
            <w:rStyle w:val="Hypertextovodkaz"/>
          </w:rPr>
          <w:t>2.1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Projektová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76402314" w14:textId="77777777" w:rsidR="00BC51B8" w:rsidRPr="00A51A89" w:rsidRDefault="0054503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8" w:history="1">
        <w:r w:rsidR="00BC51B8" w:rsidRPr="001A03B5">
          <w:rPr>
            <w:rStyle w:val="Hypertextovodkaz"/>
          </w:rPr>
          <w:t>2.2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158EA876" w14:textId="77777777" w:rsidR="00BC51B8" w:rsidRPr="00A51A89" w:rsidRDefault="00545031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9" w:history="1">
        <w:r w:rsidR="00BC51B8" w:rsidRPr="001A03B5">
          <w:rPr>
            <w:rStyle w:val="Hypertextovodkaz"/>
          </w:rPr>
          <w:t>3.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KOORDINACE S JINÝMI STAVBAMI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1CE16374" w14:textId="77777777" w:rsidR="00BC51B8" w:rsidRPr="00A51A89" w:rsidRDefault="00545031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50" w:history="1">
        <w:r w:rsidR="00BC51B8" w:rsidRPr="001A03B5">
          <w:rPr>
            <w:rStyle w:val="Hypertextovodkaz"/>
          </w:rPr>
          <w:t>4.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ZVLÁŠTNÍ TECHNICKÉ PODMÍNKY A POŽADAVKY NA PROVEDENÍ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0DB10F8B" w14:textId="77777777" w:rsidR="00BC51B8" w:rsidRPr="00A51A89" w:rsidRDefault="0054503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1" w:history="1">
        <w:r w:rsidR="00BC51B8" w:rsidRPr="001A03B5">
          <w:rPr>
            <w:rStyle w:val="Hypertextovodkaz"/>
          </w:rPr>
          <w:t>4.1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Všeobecně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5CADF606" w14:textId="77777777" w:rsidR="00BC51B8" w:rsidRPr="00A51A89" w:rsidRDefault="0054503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2" w:history="1">
        <w:r w:rsidR="00BC51B8" w:rsidRPr="001A03B5">
          <w:rPr>
            <w:rStyle w:val="Hypertextovodkaz"/>
          </w:rPr>
          <w:t>4.2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Zeměměřická činnost zhotovitele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8</w:t>
        </w:r>
        <w:r w:rsidR="00BC51B8">
          <w:rPr>
            <w:noProof/>
            <w:webHidden/>
          </w:rPr>
          <w:fldChar w:fldCharType="end"/>
        </w:r>
      </w:hyperlink>
    </w:p>
    <w:p w14:paraId="18C43CAB" w14:textId="77777777" w:rsidR="00BC51B8" w:rsidRPr="00A51A89" w:rsidRDefault="0054503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3" w:history="1">
        <w:r w:rsidR="00BC51B8" w:rsidRPr="001A03B5">
          <w:rPr>
            <w:rStyle w:val="Hypertextovodkaz"/>
          </w:rPr>
          <w:t>4.3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Doklady překládané zhotovitelem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9</w:t>
        </w:r>
        <w:r w:rsidR="00BC51B8">
          <w:rPr>
            <w:noProof/>
            <w:webHidden/>
          </w:rPr>
          <w:fldChar w:fldCharType="end"/>
        </w:r>
      </w:hyperlink>
    </w:p>
    <w:p w14:paraId="3B582298" w14:textId="77777777" w:rsidR="00BC51B8" w:rsidRPr="00A51A89" w:rsidRDefault="0054503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4" w:history="1">
        <w:r w:rsidR="00BC51B8" w:rsidRPr="001A03B5">
          <w:rPr>
            <w:rStyle w:val="Hypertextovodkaz"/>
          </w:rPr>
          <w:t>4.4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Dokumentace zhotovitele pro stavbu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9</w:t>
        </w:r>
        <w:r w:rsidR="00BC51B8">
          <w:rPr>
            <w:noProof/>
            <w:webHidden/>
          </w:rPr>
          <w:fldChar w:fldCharType="end"/>
        </w:r>
      </w:hyperlink>
    </w:p>
    <w:p w14:paraId="3F33FD15" w14:textId="77777777" w:rsidR="00BC51B8" w:rsidRPr="00A51A89" w:rsidRDefault="0054503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5" w:history="1">
        <w:r w:rsidR="00BC51B8" w:rsidRPr="001A03B5">
          <w:rPr>
            <w:rStyle w:val="Hypertextovodkaz"/>
          </w:rPr>
          <w:t>4.5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Dokumentace skutečného provedení stavby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4880DCA1" w14:textId="77777777" w:rsidR="00BC51B8" w:rsidRPr="00A51A89" w:rsidRDefault="0054503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6" w:history="1">
        <w:r w:rsidR="00BC51B8" w:rsidRPr="001A03B5">
          <w:rPr>
            <w:rStyle w:val="Hypertextovodkaz"/>
          </w:rPr>
          <w:t>4.6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Zabezpečovací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129CE9B4" w14:textId="77777777" w:rsidR="00BC51B8" w:rsidRPr="00A51A89" w:rsidRDefault="0054503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7" w:history="1">
        <w:r w:rsidR="00BC51B8" w:rsidRPr="001A03B5">
          <w:rPr>
            <w:rStyle w:val="Hypertextovodkaz"/>
          </w:rPr>
          <w:t>4.7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Sdělovací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28BE505F" w14:textId="77777777" w:rsidR="00BC51B8" w:rsidRPr="00A51A89" w:rsidRDefault="0054503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8" w:history="1">
        <w:r w:rsidR="00BC51B8" w:rsidRPr="001A03B5">
          <w:rPr>
            <w:rStyle w:val="Hypertextovodkaz"/>
          </w:rPr>
          <w:t>4.8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Silnoproudá technologie včetně DŘT, trakční a energetická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281E05E9" w14:textId="77777777" w:rsidR="00BC51B8" w:rsidRPr="00A51A89" w:rsidRDefault="0054503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9" w:history="1">
        <w:r w:rsidR="00BC51B8" w:rsidRPr="001A03B5">
          <w:rPr>
            <w:rStyle w:val="Hypertextovodkaz"/>
          </w:rPr>
          <w:t>4.9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Ostatní technologická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22D5745E" w14:textId="77777777" w:rsidR="00BC51B8" w:rsidRPr="00A51A89" w:rsidRDefault="0054503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0" w:history="1">
        <w:r w:rsidR="00BC51B8" w:rsidRPr="001A03B5">
          <w:rPr>
            <w:rStyle w:val="Hypertextovodkaz"/>
          </w:rPr>
          <w:t>4.10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 xml:space="preserve">Železniční svršek 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71DE00E1" w14:textId="77777777" w:rsidR="00BC51B8" w:rsidRPr="00A51A89" w:rsidRDefault="0054503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1" w:history="1">
        <w:r w:rsidR="00BC51B8" w:rsidRPr="001A03B5">
          <w:rPr>
            <w:rStyle w:val="Hypertextovodkaz"/>
          </w:rPr>
          <w:t>4.11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spodek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12</w:t>
        </w:r>
        <w:r w:rsidR="00BC51B8">
          <w:rPr>
            <w:noProof/>
            <w:webHidden/>
          </w:rPr>
          <w:fldChar w:fldCharType="end"/>
        </w:r>
      </w:hyperlink>
    </w:p>
    <w:p w14:paraId="6CD4A38F" w14:textId="77777777" w:rsidR="00BC51B8" w:rsidRPr="00A51A89" w:rsidRDefault="0054503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2" w:history="1">
        <w:r w:rsidR="00BC51B8" w:rsidRPr="001A03B5">
          <w:rPr>
            <w:rStyle w:val="Hypertextovodkaz"/>
          </w:rPr>
          <w:t>4.12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Nástupiště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34938D7A" w14:textId="77777777" w:rsidR="00BC51B8" w:rsidRPr="00A51A89" w:rsidRDefault="0054503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3" w:history="1">
        <w:r w:rsidR="00BC51B8" w:rsidRPr="001A03B5">
          <w:rPr>
            <w:rStyle w:val="Hypertextovodkaz"/>
          </w:rPr>
          <w:t>4.13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přejezdy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1BA743C9" w14:textId="77777777" w:rsidR="00BC51B8" w:rsidRPr="00A51A89" w:rsidRDefault="0054503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4" w:history="1">
        <w:r w:rsidR="00BC51B8" w:rsidRPr="001A03B5">
          <w:rPr>
            <w:rStyle w:val="Hypertextovodkaz"/>
          </w:rPr>
          <w:t>4.14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Mosty, propustky a zdi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AE02DEA" w14:textId="77777777" w:rsidR="00BC51B8" w:rsidRPr="00A51A89" w:rsidRDefault="0054503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5" w:history="1">
        <w:r w:rsidR="00BC51B8" w:rsidRPr="001A03B5">
          <w:rPr>
            <w:rStyle w:val="Hypertextovodkaz"/>
          </w:rPr>
          <w:t>4.15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Ostatní inženýrské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054E572F" w14:textId="77777777" w:rsidR="00BC51B8" w:rsidRPr="00A51A89" w:rsidRDefault="0054503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6" w:history="1">
        <w:r w:rsidR="00BC51B8" w:rsidRPr="001A03B5">
          <w:rPr>
            <w:rStyle w:val="Hypertextovodkaz"/>
          </w:rPr>
          <w:t>4.16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tunely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9734C37" w14:textId="77777777" w:rsidR="00BC51B8" w:rsidRPr="00A51A89" w:rsidRDefault="0054503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7" w:history="1">
        <w:r w:rsidR="00BC51B8" w:rsidRPr="001A03B5">
          <w:rPr>
            <w:rStyle w:val="Hypertextovodkaz"/>
          </w:rPr>
          <w:t>4.17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Pozemní komunikace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473F9EEA" w14:textId="77777777" w:rsidR="00BC51B8" w:rsidRPr="00A51A89" w:rsidRDefault="0054503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8" w:history="1">
        <w:r w:rsidR="00BC51B8" w:rsidRPr="001A03B5">
          <w:rPr>
            <w:rStyle w:val="Hypertextovodkaz"/>
          </w:rPr>
          <w:t>4.18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Kabelovody, kolektory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6EC0550A" w14:textId="77777777" w:rsidR="00BC51B8" w:rsidRPr="00A51A89" w:rsidRDefault="0054503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9" w:history="1">
        <w:r w:rsidR="00BC51B8" w:rsidRPr="001A03B5">
          <w:rPr>
            <w:rStyle w:val="Hypertextovodkaz"/>
          </w:rPr>
          <w:t>4.19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Protihlukové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638B5F43" w14:textId="77777777" w:rsidR="00BC51B8" w:rsidRPr="00A51A89" w:rsidRDefault="0054503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0" w:history="1">
        <w:r w:rsidR="00BC51B8" w:rsidRPr="001A03B5">
          <w:rPr>
            <w:rStyle w:val="Hypertextovodkaz"/>
          </w:rPr>
          <w:t>4.20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Pozemní stavební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4D26647" w14:textId="77777777" w:rsidR="00BC51B8" w:rsidRPr="00A51A89" w:rsidRDefault="0054503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1" w:history="1">
        <w:r w:rsidR="00BC51B8" w:rsidRPr="001A03B5">
          <w:rPr>
            <w:rStyle w:val="Hypertextovodkaz"/>
          </w:rPr>
          <w:t>4.21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Trakční a energická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46AAA2EF" w14:textId="77777777" w:rsidR="00BC51B8" w:rsidRPr="00A51A89" w:rsidRDefault="0054503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2" w:history="1">
        <w:r w:rsidR="00BC51B8" w:rsidRPr="001A03B5">
          <w:rPr>
            <w:rStyle w:val="Hypertextovodkaz"/>
          </w:rPr>
          <w:t>4.22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Vyzískaný materiál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1B398F75" w14:textId="77777777" w:rsidR="00BC51B8" w:rsidRPr="00A51A89" w:rsidRDefault="00545031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3" w:history="1">
        <w:r w:rsidR="00BC51B8" w:rsidRPr="001A03B5">
          <w:rPr>
            <w:rStyle w:val="Hypertextovodkaz"/>
          </w:rPr>
          <w:t>4.23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Životní prostředí a nakládání s odpady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0A412CCF" w14:textId="77777777" w:rsidR="00BC51B8" w:rsidRPr="00A51A89" w:rsidRDefault="00545031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4" w:history="1">
        <w:r w:rsidR="00BC51B8" w:rsidRPr="001A03B5">
          <w:rPr>
            <w:rStyle w:val="Hypertextovodkaz"/>
          </w:rPr>
          <w:t>5.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ORGANIZACE VÝSTAVBY, VÝLUKY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0160C89C" w14:textId="77777777" w:rsidR="00BC51B8" w:rsidRPr="00A51A89" w:rsidRDefault="00545031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5" w:history="1">
        <w:r w:rsidR="00BC51B8" w:rsidRPr="001A03B5">
          <w:rPr>
            <w:rStyle w:val="Hypertextovodkaz"/>
          </w:rPr>
          <w:t>6.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DOKUMENTY A PŘEDPISY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14</w:t>
        </w:r>
        <w:r w:rsidR="00BC51B8">
          <w:rPr>
            <w:noProof/>
            <w:webHidden/>
          </w:rPr>
          <w:fldChar w:fldCharType="end"/>
        </w:r>
      </w:hyperlink>
    </w:p>
    <w:p w14:paraId="78FCC01E" w14:textId="77777777" w:rsidR="00BC51B8" w:rsidRPr="00A51A89" w:rsidRDefault="00545031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6" w:history="1">
        <w:r w:rsidR="00BC51B8" w:rsidRPr="001A03B5">
          <w:rPr>
            <w:rStyle w:val="Hypertextovodkaz"/>
          </w:rPr>
          <w:t>7.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PŘÍLOHY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15</w:t>
        </w:r>
        <w:r w:rsidR="00BC51B8">
          <w:rPr>
            <w:noProof/>
            <w:webHidden/>
          </w:rPr>
          <w:fldChar w:fldCharType="end"/>
        </w:r>
      </w:hyperlink>
    </w:p>
    <w:p w14:paraId="136328A0" w14:textId="77777777" w:rsidR="00AD0C7B" w:rsidRDefault="00BD7E91" w:rsidP="008D03B9">
      <w:r>
        <w:fldChar w:fldCharType="end"/>
      </w:r>
    </w:p>
    <w:p w14:paraId="31F6BF0B" w14:textId="77777777" w:rsidR="00AD0C7B" w:rsidRDefault="00AD0C7B" w:rsidP="00DA1C67">
      <w:pPr>
        <w:pStyle w:val="Nadpisbezsl1-1"/>
        <w:outlineLvl w:val="0"/>
      </w:pPr>
      <w:bookmarkStart w:id="0" w:name="_Toc21501942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620BE754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2C0924" w:rsidRPr="006A10C4" w14:paraId="4DE4A605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DB675A7" w14:textId="77777777" w:rsidR="002C0924" w:rsidRPr="00BC51B8" w:rsidRDefault="002C0924" w:rsidP="003B111D">
            <w:pPr>
              <w:pStyle w:val="Zkratky1"/>
              <w:rPr>
                <w:highlight w:val="green"/>
              </w:rPr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7656" w14:textId="77777777" w:rsidR="002C0924" w:rsidRPr="00BC51B8" w:rsidRDefault="002C0924" w:rsidP="0076790E">
            <w:pPr>
              <w:pStyle w:val="Zkratky2"/>
              <w:rPr>
                <w:highlight w:val="green"/>
              </w:rPr>
            </w:pPr>
            <w:r w:rsidRPr="00462EF1">
              <w:t>Správa železnic, státní organizace</w:t>
            </w:r>
          </w:p>
        </w:tc>
      </w:tr>
      <w:tr w:rsidR="002C0924" w:rsidRPr="006A10C4" w14:paraId="637B1BC9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7C1F36B" w14:textId="77777777" w:rsidR="002C0924" w:rsidRDefault="002C0924" w:rsidP="00AD0C7B">
            <w:pPr>
              <w:pStyle w:val="Zkratky1"/>
            </w:pPr>
            <w:r w:rsidRPr="00462EF1">
              <w:t xml:space="preserve">ESD </w:t>
            </w:r>
            <w:r w:rsidRPr="00462EF1">
              <w:tab/>
            </w:r>
          </w:p>
          <w:p w14:paraId="46A43566" w14:textId="77777777" w:rsidR="00F26CCD" w:rsidRPr="006A10C4" w:rsidRDefault="00F26CCD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4A1689E" w14:textId="77777777" w:rsidR="002C0924" w:rsidRDefault="002C0924" w:rsidP="000F15F1">
            <w:pPr>
              <w:pStyle w:val="Zkratky2"/>
            </w:pPr>
            <w:r w:rsidRPr="00462EF1">
              <w:t>Elektronický stavební deník</w:t>
            </w:r>
          </w:p>
          <w:p w14:paraId="5F3731B7" w14:textId="77777777" w:rsidR="00F26CCD" w:rsidRPr="006A10C4" w:rsidRDefault="00F26CCD" w:rsidP="002518CB">
            <w:pPr>
              <w:pStyle w:val="Zkratky2"/>
            </w:pPr>
          </w:p>
        </w:tc>
      </w:tr>
      <w:tr w:rsidR="002C0924" w:rsidRPr="006A10C4" w14:paraId="27F2131E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E5D3DA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FCFFE6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0693C69A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D4236B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5F7838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0520F86C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36B5A5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E36185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2B2452EA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E6F730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3A5CFDF" w14:textId="77777777" w:rsidR="002C0924" w:rsidRPr="006A10C4" w:rsidRDefault="002C0924" w:rsidP="000F15F1">
            <w:pPr>
              <w:pStyle w:val="Zkratky2"/>
            </w:pPr>
          </w:p>
        </w:tc>
      </w:tr>
    </w:tbl>
    <w:p w14:paraId="2B8D97A0" w14:textId="77777777" w:rsidR="00041EC8" w:rsidRDefault="00041EC8" w:rsidP="00AD0C7B"/>
    <w:p w14:paraId="71FEACF0" w14:textId="77777777" w:rsidR="00826B7B" w:rsidRDefault="00826B7B">
      <w:r>
        <w:br w:type="page"/>
      </w:r>
    </w:p>
    <w:p w14:paraId="523D6EE5" w14:textId="77777777" w:rsidR="00DF7BAA" w:rsidRDefault="00DF7BAA" w:rsidP="00DF7BAA">
      <w:pPr>
        <w:pStyle w:val="Nadpis2-1"/>
      </w:pPr>
      <w:bookmarkStart w:id="2" w:name="_Toc6410429"/>
      <w:bookmarkStart w:id="3" w:name="_Toc21501943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19D41CD6" w14:textId="77777777" w:rsidR="00DF7BAA" w:rsidRDefault="00DF7BAA" w:rsidP="00DF7BAA">
      <w:pPr>
        <w:pStyle w:val="Nadpis2-2"/>
      </w:pPr>
      <w:bookmarkStart w:id="9" w:name="_Toc6410430"/>
      <w:bookmarkStart w:id="10" w:name="_Toc21501944"/>
      <w:r>
        <w:t>Účel a rozsah předmětu Díla</w:t>
      </w:r>
      <w:bookmarkEnd w:id="9"/>
      <w:bookmarkEnd w:id="10"/>
    </w:p>
    <w:p w14:paraId="2E5B66B7" w14:textId="2C162A02" w:rsidR="003A5939" w:rsidRDefault="00DF7BAA" w:rsidP="003146D3">
      <w:pPr>
        <w:pStyle w:val="Text2-1"/>
      </w:pPr>
      <w:r>
        <w:t xml:space="preserve">Předmětem díla </w:t>
      </w:r>
      <w:r w:rsidR="005B7C87">
        <w:t>„</w:t>
      </w:r>
      <w:r w:rsidR="003146D3" w:rsidRPr="003146D3">
        <w:t>Obvod OŘ Brno – zpracování projektové dokumentace na opravy elektroinstalací a hromosvodů v objektech a prostorách správy železnic – rámcová smlouva“ jejímž cílem je zpracovávání projektových dokumentací na realizace opravných prací elektro na objektech  a prostorách Správy železnic.</w:t>
      </w:r>
    </w:p>
    <w:p w14:paraId="72069579" w14:textId="331D58E9" w:rsidR="00DF7BAA" w:rsidRDefault="00DF7BAA" w:rsidP="007F4890">
      <w:pPr>
        <w:pStyle w:val="Text2-1"/>
      </w:pPr>
      <w:r w:rsidRPr="00DB4332">
        <w:t xml:space="preserve">Rozsah Díla </w:t>
      </w:r>
      <w:r w:rsidRPr="005C5372">
        <w:t>„</w:t>
      </w:r>
      <w:r w:rsidR="005B7C87" w:rsidRPr="005B7C87">
        <w:t>Obvod OŘ Brno – zpracování projektové dokumentace na opravy elektroinstalací</w:t>
      </w:r>
      <w:r w:rsidR="003A5939">
        <w:t xml:space="preserve"> a hromosvodů</w:t>
      </w:r>
      <w:r w:rsidR="005B7C87" w:rsidRPr="005B7C87">
        <w:t xml:space="preserve"> v objektech </w:t>
      </w:r>
      <w:r w:rsidR="003A5939">
        <w:t xml:space="preserve">a prostorách </w:t>
      </w:r>
      <w:r w:rsidR="005B7C87" w:rsidRPr="005B7C87">
        <w:t>správy železnic – rámcová smlouva</w:t>
      </w:r>
      <w:r w:rsidR="005B7C87">
        <w:t>“</w:t>
      </w:r>
      <w:r w:rsidRPr="00DB4332">
        <w:t xml:space="preserve"> je </w:t>
      </w:r>
      <w:r w:rsidR="005B7C87">
        <w:t>zpracovávání dokumentací pro potřeby realizace opravných prací elektro, dle zadání objednatele</w:t>
      </w:r>
      <w:r w:rsidR="00BF0E2B">
        <w:t>.</w:t>
      </w:r>
      <w:r w:rsidR="005B7C87">
        <w:t xml:space="preserve"> </w:t>
      </w:r>
    </w:p>
    <w:p w14:paraId="07E8A0D7" w14:textId="26D25476" w:rsidR="003A5939" w:rsidRDefault="003A5939" w:rsidP="007F4890">
      <w:pPr>
        <w:pStyle w:val="Text2-1"/>
      </w:pPr>
      <w:r>
        <w:t xml:space="preserve">Zpracováním a předáním projektové dokumentace se rozumí zpracování dokumentace  dle směrnice  generálního ředitele č.11/2006 a vyhlášky 146/2008 </w:t>
      </w:r>
      <w:proofErr w:type="spellStart"/>
      <w:proofErr w:type="gramStart"/>
      <w:r>
        <w:t>Sb.v</w:t>
      </w:r>
      <w:proofErr w:type="spellEnd"/>
      <w:r>
        <w:t xml:space="preserve"> rozsahu</w:t>
      </w:r>
      <w:proofErr w:type="gramEnd"/>
      <w:r>
        <w:t xml:space="preserve"> projektové dokumentace pro provádění stavby(PDPS) a následné dokumentace skutečného provedení stavby.</w:t>
      </w:r>
    </w:p>
    <w:p w14:paraId="6DFEF03B" w14:textId="51B0265B" w:rsidR="00AD5831" w:rsidRDefault="00AD5831" w:rsidP="007F4890">
      <w:pPr>
        <w:pStyle w:val="Text2-1"/>
      </w:pPr>
      <w:r>
        <w:t>Rozpočty budou zpracovány v KROS 4</w:t>
      </w:r>
    </w:p>
    <w:p w14:paraId="6DBC5024" w14:textId="08A9293B" w:rsidR="003146D3" w:rsidRPr="00DB4332" w:rsidRDefault="003146D3" w:rsidP="007F4890">
      <w:pPr>
        <w:pStyle w:val="Text2-1"/>
      </w:pPr>
      <w:r>
        <w:t xml:space="preserve">Termíny dodání jednotlivých projektů budou dle složitosti od 2 do </w:t>
      </w:r>
      <w:proofErr w:type="spellStart"/>
      <w:r>
        <w:t>max</w:t>
      </w:r>
      <w:proofErr w:type="spellEnd"/>
      <w:r>
        <w:t xml:space="preserve"> 3 měsíců.</w:t>
      </w:r>
    </w:p>
    <w:p w14:paraId="2258308B" w14:textId="77777777" w:rsidR="00DF7BAA" w:rsidRDefault="00DF7BAA" w:rsidP="00DF7BAA">
      <w:pPr>
        <w:pStyle w:val="Nadpis2-2"/>
      </w:pPr>
      <w:bookmarkStart w:id="11" w:name="_Toc6410431"/>
      <w:bookmarkStart w:id="12" w:name="_Toc21501945"/>
      <w:r>
        <w:t>Umístění stavby</w:t>
      </w:r>
      <w:bookmarkEnd w:id="11"/>
      <w:bookmarkEnd w:id="12"/>
    </w:p>
    <w:p w14:paraId="55BB6A3D" w14:textId="69DFF245" w:rsidR="00DF7BAA" w:rsidRPr="00361565" w:rsidRDefault="00361565" w:rsidP="00361565">
      <w:pPr>
        <w:pStyle w:val="ZTPinfo-text-odr"/>
        <w:numPr>
          <w:ilvl w:val="0"/>
          <w:numId w:val="0"/>
        </w:numPr>
        <w:ind w:left="927" w:hanging="360"/>
        <w:rPr>
          <w:i w:val="0"/>
          <w:color w:val="auto"/>
        </w:rPr>
      </w:pPr>
      <w:r w:rsidRPr="00361565">
        <w:rPr>
          <w:i w:val="0"/>
          <w:color w:val="auto"/>
        </w:rPr>
        <w:t>Obvod SPS Brno</w:t>
      </w:r>
    </w:p>
    <w:p w14:paraId="11E784D6" w14:textId="77777777" w:rsidR="00DF7BAA" w:rsidRDefault="00DF7BAA" w:rsidP="00DF7BAA">
      <w:pPr>
        <w:pStyle w:val="Nadpis2-1"/>
      </w:pPr>
      <w:bookmarkStart w:id="13" w:name="_Toc6410432"/>
      <w:bookmarkStart w:id="14" w:name="_Toc21501946"/>
      <w:r>
        <w:t>PŘEHLED VÝCHOZÍCH PODKLADŮ</w:t>
      </w:r>
      <w:bookmarkEnd w:id="13"/>
      <w:bookmarkEnd w:id="14"/>
    </w:p>
    <w:p w14:paraId="79DFB94A" w14:textId="77777777" w:rsidR="00DF7BAA" w:rsidRDefault="00DF7BAA" w:rsidP="00DF7BAA">
      <w:pPr>
        <w:pStyle w:val="Nadpis2-2"/>
      </w:pPr>
      <w:bookmarkStart w:id="15" w:name="_Toc6410433"/>
      <w:bookmarkStart w:id="16" w:name="_Toc21501947"/>
      <w:r>
        <w:t>Projektová dokumentace</w:t>
      </w:r>
      <w:bookmarkEnd w:id="15"/>
      <w:bookmarkEnd w:id="16"/>
    </w:p>
    <w:p w14:paraId="1B674EAE" w14:textId="77777777" w:rsidR="00DF7BAA" w:rsidRDefault="00DF7BAA" w:rsidP="00DF7BAA">
      <w:pPr>
        <w:pStyle w:val="Nadpis2-2"/>
      </w:pPr>
      <w:bookmarkStart w:id="17" w:name="_Toc6410434"/>
      <w:bookmarkStart w:id="18" w:name="_Toc21501948"/>
      <w:r>
        <w:t>Související dokumentace</w:t>
      </w:r>
      <w:bookmarkEnd w:id="17"/>
      <w:bookmarkEnd w:id="18"/>
    </w:p>
    <w:p w14:paraId="70B732DF" w14:textId="77777777" w:rsidR="00361565" w:rsidRDefault="00361565" w:rsidP="00361565">
      <w:pPr>
        <w:pStyle w:val="Text2-1"/>
      </w:pPr>
      <w:bookmarkStart w:id="19" w:name="_Toc6410435"/>
      <w:bookmarkStart w:id="20" w:name="_Toc21501949"/>
      <w:r>
        <w:t xml:space="preserve">Formulář pro </w:t>
      </w:r>
      <w:proofErr w:type="spellStart"/>
      <w:r>
        <w:t>nacenění</w:t>
      </w:r>
      <w:proofErr w:type="spellEnd"/>
      <w:r>
        <w:t xml:space="preserve"> jednotlivých úkonů </w:t>
      </w:r>
    </w:p>
    <w:p w14:paraId="3F27997C" w14:textId="77777777" w:rsidR="00361565" w:rsidRDefault="00361565" w:rsidP="00361565">
      <w:pPr>
        <w:pStyle w:val="Text2-1"/>
      </w:pPr>
      <w:r>
        <w:t>Seznam  bytových jednotek</w:t>
      </w:r>
    </w:p>
    <w:p w14:paraId="6D380947" w14:textId="77777777" w:rsidR="00361565" w:rsidRPr="008D403B" w:rsidRDefault="00361565" w:rsidP="00361565">
      <w:pPr>
        <w:pStyle w:val="Text2-1"/>
      </w:pPr>
      <w:r>
        <w:t>Seznam objektů v majetku SPS OŘ Brno</w:t>
      </w:r>
    </w:p>
    <w:p w14:paraId="7706A99B" w14:textId="77777777" w:rsidR="00DF7BAA" w:rsidRDefault="00DF7BAA" w:rsidP="00DF7BAA">
      <w:pPr>
        <w:pStyle w:val="Nadpis2-1"/>
      </w:pPr>
      <w:r>
        <w:t>KOORDINACE S JINÝMI STAVBAMI</w:t>
      </w:r>
      <w:bookmarkEnd w:id="19"/>
      <w:bookmarkEnd w:id="20"/>
      <w:r>
        <w:t xml:space="preserve"> </w:t>
      </w:r>
    </w:p>
    <w:p w14:paraId="55A59E3C" w14:textId="77777777" w:rsidR="00DF7BAA" w:rsidRDefault="00DF7BAA" w:rsidP="007F4890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3556129D" w14:textId="2F6E4D15" w:rsidR="00DF7BAA" w:rsidRDefault="00DF7BAA" w:rsidP="00DF7BAA">
      <w:pPr>
        <w:pStyle w:val="ZTPinfo-text-odr"/>
      </w:pPr>
      <w:r>
        <w:t>.</w:t>
      </w:r>
    </w:p>
    <w:p w14:paraId="4214CF3A" w14:textId="77777777" w:rsidR="00DF7BAA" w:rsidRDefault="00DF7BAA" w:rsidP="00DF7BAA">
      <w:pPr>
        <w:pStyle w:val="Nadpis2-1"/>
      </w:pPr>
      <w:bookmarkStart w:id="21" w:name="_Toc6410436"/>
      <w:bookmarkStart w:id="22" w:name="_Toc21501950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1"/>
      <w:bookmarkEnd w:id="22"/>
    </w:p>
    <w:p w14:paraId="335EB4C5" w14:textId="77777777" w:rsidR="00DF7BAA" w:rsidRDefault="00DF7BAA" w:rsidP="00DF7BAA">
      <w:pPr>
        <w:pStyle w:val="Nadpis2-2"/>
      </w:pPr>
      <w:bookmarkStart w:id="23" w:name="_Toc6410437"/>
      <w:bookmarkStart w:id="24" w:name="_Toc21501951"/>
      <w:r>
        <w:t>Všeobecně</w:t>
      </w:r>
      <w:bookmarkEnd w:id="23"/>
      <w:bookmarkEnd w:id="24"/>
    </w:p>
    <w:p w14:paraId="5349B518" w14:textId="77777777" w:rsidR="00680766" w:rsidRDefault="00680766" w:rsidP="007F4890">
      <w:pPr>
        <w:pStyle w:val="Text2-1"/>
      </w:pPr>
      <w:proofErr w:type="gramStart"/>
      <w:r>
        <w:t>Čl. 1..10</w:t>
      </w:r>
      <w:proofErr w:type="gramEnd"/>
      <w:r>
        <w:t>. VTP se ruší.</w:t>
      </w:r>
    </w:p>
    <w:p w14:paraId="4DB53727" w14:textId="77777777" w:rsidR="00680766" w:rsidRDefault="00680766" w:rsidP="007F4890">
      <w:pPr>
        <w:pStyle w:val="Text2-1"/>
      </w:pPr>
      <w:r>
        <w:t xml:space="preserve">Čl. 3.1.1. VTP se mění takto: </w:t>
      </w:r>
    </w:p>
    <w:p w14:paraId="3C2AFF20" w14:textId="5457750B" w:rsidR="00680766" w:rsidRDefault="00FE2DED" w:rsidP="007F4890">
      <w:pPr>
        <w:pStyle w:val="Textbezslovn"/>
      </w:pPr>
      <w:r>
        <w:t>Neobsazeno</w:t>
      </w:r>
    </w:p>
    <w:p w14:paraId="588A5128" w14:textId="77777777" w:rsidR="00680766" w:rsidRDefault="00680766" w:rsidP="007F4890">
      <w:pPr>
        <w:pStyle w:val="Text2-1"/>
      </w:pPr>
      <w:r>
        <w:t xml:space="preserve">Čl. 3.1.3. VTP se mění takto: </w:t>
      </w:r>
    </w:p>
    <w:p w14:paraId="4D583FE6" w14:textId="2201225F" w:rsidR="00680766" w:rsidRDefault="00FE2DED" w:rsidP="007F4890">
      <w:pPr>
        <w:pStyle w:val="Textbezslovn"/>
      </w:pPr>
      <w:r>
        <w:t>Neobsazeno</w:t>
      </w:r>
    </w:p>
    <w:p w14:paraId="4D9848A0" w14:textId="77777777" w:rsidR="00680766" w:rsidRDefault="00680766" w:rsidP="007F4890">
      <w:pPr>
        <w:pStyle w:val="Text2-1"/>
      </w:pPr>
      <w:r>
        <w:t xml:space="preserve">Čl. 3.2.1. VTP se mění takto: </w:t>
      </w:r>
    </w:p>
    <w:p w14:paraId="6626F571" w14:textId="6D440389" w:rsidR="00680766" w:rsidRDefault="00FE2DED" w:rsidP="007F4890">
      <w:pPr>
        <w:pStyle w:val="Textbezslovn"/>
      </w:pPr>
      <w:r>
        <w:t>Neobsazeno</w:t>
      </w:r>
    </w:p>
    <w:p w14:paraId="7FA2EFA6" w14:textId="77777777" w:rsidR="00680766" w:rsidRDefault="00680766" w:rsidP="007F4890">
      <w:pPr>
        <w:pStyle w:val="Text2-1"/>
      </w:pPr>
      <w:r>
        <w:lastRenderedPageBreak/>
        <w:t xml:space="preserve">Čl. 3.2.2. VTP se mění takto: </w:t>
      </w:r>
    </w:p>
    <w:p w14:paraId="5457B5F7" w14:textId="281C7164" w:rsidR="00680766" w:rsidRDefault="00FE2DED" w:rsidP="007F4890">
      <w:pPr>
        <w:pStyle w:val="Odstavec1-1a"/>
      </w:pPr>
      <w:r>
        <w:t>Neobsazeno</w:t>
      </w:r>
    </w:p>
    <w:p w14:paraId="43ECB845" w14:textId="77777777" w:rsidR="00122084" w:rsidRDefault="00122084" w:rsidP="007F4890">
      <w:pPr>
        <w:pStyle w:val="Text2-1"/>
      </w:pPr>
      <w:r>
        <w:t>V čl. 3.2.3 se ruší text „</w:t>
      </w:r>
      <w:proofErr w:type="gramStart"/>
      <w:r>
        <w:t>….a finančního</w:t>
      </w:r>
      <w:proofErr w:type="gramEnd"/>
      <w:r>
        <w:t xml:space="preserve"> plnění“.</w:t>
      </w:r>
    </w:p>
    <w:p w14:paraId="6B660C5A" w14:textId="7D535590" w:rsidR="00680766" w:rsidRDefault="00680766" w:rsidP="007F4890">
      <w:pPr>
        <w:pStyle w:val="Text2-1"/>
      </w:pPr>
      <w:r>
        <w:t xml:space="preserve">Čl. 3.3.1. VTP se mění </w:t>
      </w:r>
      <w:r w:rsidRPr="00FB6E74">
        <w:t>takto</w:t>
      </w:r>
      <w:r>
        <w:t xml:space="preserve">: </w:t>
      </w:r>
    </w:p>
    <w:p w14:paraId="01067A17" w14:textId="35B93D6B" w:rsidR="00FE2DED" w:rsidRDefault="00FE2DED" w:rsidP="007F4890">
      <w:pPr>
        <w:pStyle w:val="Text2-1"/>
      </w:pPr>
      <w:r>
        <w:t>Neobsazeno</w:t>
      </w:r>
    </w:p>
    <w:p w14:paraId="44F4B801" w14:textId="2F139468" w:rsidR="00680766" w:rsidRDefault="00680766" w:rsidP="007F4890">
      <w:pPr>
        <w:pStyle w:val="Textbezslovn"/>
      </w:pPr>
      <w:r>
        <w:t>.</w:t>
      </w:r>
    </w:p>
    <w:p w14:paraId="7B43D9FF" w14:textId="77777777" w:rsidR="00680766" w:rsidRDefault="00680766" w:rsidP="007F4890">
      <w:pPr>
        <w:pStyle w:val="Text2-1"/>
      </w:pPr>
      <w:r>
        <w:t>Čl. 3.3.5. VTP se ruší.</w:t>
      </w:r>
    </w:p>
    <w:p w14:paraId="750F1175" w14:textId="77777777" w:rsidR="00680766" w:rsidRDefault="00680766" w:rsidP="007F4890">
      <w:pPr>
        <w:pStyle w:val="Text2-1"/>
      </w:pPr>
      <w:r>
        <w:t xml:space="preserve">Čl. 3.3.6. VTP se </w:t>
      </w:r>
      <w:r w:rsidRPr="00FB6E74">
        <w:t>mění</w:t>
      </w:r>
      <w:r>
        <w:t xml:space="preserve"> takto: </w:t>
      </w:r>
    </w:p>
    <w:p w14:paraId="5E1D9F3A" w14:textId="77777777" w:rsidR="00680766" w:rsidRDefault="00680766" w:rsidP="007F4890">
      <w:pPr>
        <w:pStyle w:val="Textbezslovn"/>
      </w:pPr>
      <w:r>
        <w:t>Objednatel provádí potvrzování (potvrzení podpisem přečtení záznamů) Stavebního deníku až po jejich předchozím potvrzení Zhotovitelem.</w:t>
      </w:r>
    </w:p>
    <w:p w14:paraId="3172594D" w14:textId="77777777" w:rsidR="00680766" w:rsidRDefault="00680766" w:rsidP="007F4890">
      <w:pPr>
        <w:pStyle w:val="Text2-1"/>
      </w:pPr>
      <w:r>
        <w:t xml:space="preserve">Čl. 3.3.7. VTP se mění takto: </w:t>
      </w:r>
    </w:p>
    <w:p w14:paraId="0AD8A1AA" w14:textId="77777777" w:rsidR="00680766" w:rsidRDefault="00680766" w:rsidP="007F4890">
      <w:pPr>
        <w:pStyle w:val="Textbezslovn"/>
      </w:pPr>
      <w:r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33BE9D32" w14:textId="77777777" w:rsidR="00680766" w:rsidRDefault="00680766" w:rsidP="007F4890">
      <w:pPr>
        <w:pStyle w:val="Text2-1"/>
      </w:pPr>
      <w:r>
        <w:t xml:space="preserve">Čl. 3.3.8. VTP se mění takto: </w:t>
      </w:r>
    </w:p>
    <w:p w14:paraId="32A167F9" w14:textId="77777777" w:rsidR="00680766" w:rsidRDefault="00680766" w:rsidP="007F4890">
      <w:pPr>
        <w:pStyle w:val="Textbezslovn"/>
      </w:pPr>
      <w:r>
        <w:t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14:paraId="751E8901" w14:textId="77777777" w:rsidR="00680766" w:rsidRDefault="00680766" w:rsidP="007F4890">
      <w:pPr>
        <w:pStyle w:val="Text2-1"/>
      </w:pPr>
      <w:r>
        <w:t>V čl. 4.1.2. VTP se ruší text „… a finančního plnění“.</w:t>
      </w:r>
      <w:r w:rsidR="00F0110B">
        <w:t xml:space="preserve"> Text „…14 kalendářních dnů…“ se mění na „</w:t>
      </w:r>
      <w:proofErr w:type="gramStart"/>
      <w:r w:rsidR="00F0110B">
        <w:t>….7 kalendářních</w:t>
      </w:r>
      <w:proofErr w:type="gramEnd"/>
      <w:r w:rsidR="00F0110B">
        <w:t xml:space="preserve"> dnů…“.</w:t>
      </w:r>
    </w:p>
    <w:p w14:paraId="2F7AEB7E" w14:textId="77777777" w:rsidR="00680766" w:rsidRDefault="00680766" w:rsidP="007F4890">
      <w:pPr>
        <w:pStyle w:val="Text2-1"/>
      </w:pPr>
      <w:r>
        <w:t>V čl. 4.1.4. VTP se ruší text „…části – Geodetická dokumentace“.</w:t>
      </w:r>
    </w:p>
    <w:p w14:paraId="19A90BA1" w14:textId="77777777" w:rsidR="00680766" w:rsidRDefault="00680766" w:rsidP="007F4890">
      <w:pPr>
        <w:pStyle w:val="Text2-1"/>
      </w:pPr>
      <w:r>
        <w:t>Čl. 4.1.7. VTP se ruší.</w:t>
      </w:r>
    </w:p>
    <w:p w14:paraId="052FE493" w14:textId="77777777" w:rsidR="00680766" w:rsidRDefault="00680766" w:rsidP="007F4890">
      <w:pPr>
        <w:pStyle w:val="Text2-1"/>
      </w:pPr>
      <w:r>
        <w:t>Čl. 4.1.8. VTP se ruší.</w:t>
      </w:r>
    </w:p>
    <w:p w14:paraId="1960A103" w14:textId="77777777" w:rsidR="00680766" w:rsidRDefault="00680766" w:rsidP="007F4890">
      <w:pPr>
        <w:pStyle w:val="Text2-1"/>
      </w:pPr>
      <w:r>
        <w:t>V čl. 4.2.1. VTP se ruší druhá a třetí věta textu.</w:t>
      </w:r>
    </w:p>
    <w:p w14:paraId="2B0DC01D" w14:textId="77777777" w:rsidR="00680766" w:rsidRDefault="00680766" w:rsidP="007F4890">
      <w:pPr>
        <w:pStyle w:val="Text2-1"/>
      </w:pPr>
      <w:r>
        <w:t>Čl. 4.2.2. VTP se ruší.</w:t>
      </w:r>
    </w:p>
    <w:p w14:paraId="498FF213" w14:textId="77777777" w:rsidR="00680766" w:rsidRDefault="00680766" w:rsidP="007F4890">
      <w:pPr>
        <w:pStyle w:val="Text2-1"/>
      </w:pPr>
      <w:r>
        <w:t>V čl. 4.2.9. VTP se mění lhůta z 21 dnů na 7 dnů.</w:t>
      </w:r>
    </w:p>
    <w:p w14:paraId="32469F11" w14:textId="77777777" w:rsidR="00680766" w:rsidRDefault="00680766" w:rsidP="007F4890">
      <w:pPr>
        <w:pStyle w:val="Text2-1"/>
      </w:pPr>
      <w:r>
        <w:t xml:space="preserve">Čl. </w:t>
      </w:r>
      <w:proofErr w:type="gramStart"/>
      <w:r>
        <w:t>4.2.18</w:t>
      </w:r>
      <w:proofErr w:type="gramEnd"/>
      <w:r>
        <w:t>. VTP se mění takto:</w:t>
      </w:r>
    </w:p>
    <w:p w14:paraId="5A5112AF" w14:textId="77777777" w:rsidR="00680766" w:rsidRDefault="00680766" w:rsidP="007F4890">
      <w:pPr>
        <w:pStyle w:val="Textbezslovn"/>
      </w:pPr>
      <w:r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F0110B">
        <w:t xml:space="preserve"> Před započetím stavby pořídí Zhotovitel fotodokumentaci o stavu komunikací</w:t>
      </w:r>
      <w:r w:rsidR="00F0110B">
        <w:t>.</w:t>
      </w:r>
      <w:r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7346B6A9" w14:textId="77777777" w:rsidR="00680766" w:rsidRDefault="00680766" w:rsidP="007F4890">
      <w:pPr>
        <w:pStyle w:val="Text2-1"/>
      </w:pPr>
      <w:r>
        <w:t>Čl. 4.3.2. VTP se ruší.</w:t>
      </w:r>
    </w:p>
    <w:p w14:paraId="7ADA7198" w14:textId="77777777" w:rsidR="00680766" w:rsidRDefault="00680766" w:rsidP="007F4890">
      <w:pPr>
        <w:pStyle w:val="Text2-1"/>
      </w:pPr>
      <w:r>
        <w:t>Čl. 4.3.3. VTP se mění takto:</w:t>
      </w:r>
    </w:p>
    <w:p w14:paraId="2944CC55" w14:textId="77777777" w:rsidR="00680766" w:rsidRDefault="00680766" w:rsidP="007F4890">
      <w:pPr>
        <w:pStyle w:val="Textbezslovn"/>
      </w:pPr>
      <w:r>
        <w:lastRenderedPageBreak/>
        <w:t>Zhotovitel se zavazuje zpracovat havarijní plán pro případný únik ropných látek ve smyslu zákona č. 254/2001 Sb. [10].</w:t>
      </w:r>
      <w:r w:rsidR="00F0110B">
        <w:t xml:space="preserve"> </w:t>
      </w:r>
      <w:r w:rsidR="00F0110B" w:rsidRPr="00F0110B">
        <w:t>Zhotovitel bude řešit způsob odstavení stavebních strojů, zásobování strojů pohonnými hmotami, ochranu proti znečištění povrchových a podzemních vod a ovzduší.</w:t>
      </w:r>
      <w:r w:rsidR="00F0110B">
        <w:t xml:space="preserve"> </w:t>
      </w:r>
    </w:p>
    <w:p w14:paraId="4F5F92F3" w14:textId="77777777" w:rsidR="00680766" w:rsidRDefault="00680766" w:rsidP="007F4890">
      <w:pPr>
        <w:pStyle w:val="Text2-1"/>
      </w:pPr>
      <w:r>
        <w:t>Čl. 5.1.4. VTP se ruší.</w:t>
      </w:r>
    </w:p>
    <w:p w14:paraId="2095455A" w14:textId="77777777" w:rsidR="00680766" w:rsidRDefault="00680766" w:rsidP="007F4890">
      <w:pPr>
        <w:pStyle w:val="Text2-1"/>
      </w:pPr>
      <w:r>
        <w:t xml:space="preserve">V čl. </w:t>
      </w:r>
      <w:proofErr w:type="gramStart"/>
      <w:r>
        <w:t>5.1.10</w:t>
      </w:r>
      <w:proofErr w:type="gramEnd"/>
      <w:r>
        <w:t xml:space="preserve">. VTP se text „5 pracovních dnů“ nahrazuje textem „2 pracovní dny“. </w:t>
      </w:r>
    </w:p>
    <w:p w14:paraId="199255B4" w14:textId="77777777" w:rsidR="00680766" w:rsidRDefault="00680766" w:rsidP="007F4890">
      <w:pPr>
        <w:pStyle w:val="Text2-1"/>
      </w:pPr>
      <w:r>
        <w:t>V čl. 5.2.4. VTP se mění lhůta ze čtyř týdnů na dva týdny. Ruší se text “</w:t>
      </w:r>
      <w:proofErr w:type="gramStart"/>
      <w:r>
        <w:t>…. a písemně</w:t>
      </w:r>
      <w:proofErr w:type="gramEnd"/>
      <w:r>
        <w:t xml:space="preserve"> přizvat dotčené orgány veřejné správy (odbor životního prostředí příslušného úřadu)“. </w:t>
      </w:r>
    </w:p>
    <w:p w14:paraId="1DEEA339" w14:textId="77777777" w:rsidR="00680766" w:rsidRDefault="00680766" w:rsidP="007F4890">
      <w:pPr>
        <w:pStyle w:val="Text2-1"/>
      </w:pPr>
      <w:r>
        <w:t>Čl. 6.3.1. VTP se ruší.</w:t>
      </w:r>
    </w:p>
    <w:p w14:paraId="66F88A76" w14:textId="77777777" w:rsidR="00680766" w:rsidRDefault="00680766" w:rsidP="007F4890">
      <w:pPr>
        <w:pStyle w:val="Text2-1"/>
      </w:pPr>
      <w:r>
        <w:t>Čl. 7.</w:t>
      </w:r>
      <w:r w:rsidR="009A45C5">
        <w:t>1.</w:t>
      </w:r>
      <w:r>
        <w:t xml:space="preserve">7. VTP se mění takto: </w:t>
      </w:r>
    </w:p>
    <w:p w14:paraId="67E4B904" w14:textId="77777777" w:rsidR="00680766" w:rsidRDefault="00680766" w:rsidP="007F4890">
      <w:pPr>
        <w:pStyle w:val="Textbezslovn"/>
      </w:pPr>
      <w:r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4C9ABAB9" w14:textId="77777777" w:rsidR="00680766" w:rsidRDefault="00680766" w:rsidP="007F4890">
      <w:pPr>
        <w:pStyle w:val="Text2-1"/>
      </w:pPr>
      <w:r>
        <w:t xml:space="preserve">V čl. </w:t>
      </w:r>
      <w:proofErr w:type="gramStart"/>
      <w:r>
        <w:t>7.1.11</w:t>
      </w:r>
      <w:proofErr w:type="gramEnd"/>
      <w:r>
        <w:t>. VTP se text „po rekonstrukci“ nahrazuje textem „po opravě a</w:t>
      </w:r>
      <w:r w:rsidR="00306180">
        <w:t xml:space="preserve"> </w:t>
      </w:r>
      <w:r>
        <w:t>údržbě“, a text rekonstrukce“ se nahrazuje textem „oprava a údržba“.</w:t>
      </w:r>
    </w:p>
    <w:p w14:paraId="66FA371A" w14:textId="77777777" w:rsidR="00680766" w:rsidRDefault="00680766" w:rsidP="007F4890">
      <w:pPr>
        <w:pStyle w:val="Text2-1"/>
      </w:pPr>
      <w:r>
        <w:t xml:space="preserve">Čl. 7.2.1. VTP se mění takto: </w:t>
      </w:r>
    </w:p>
    <w:p w14:paraId="2820CFDE" w14:textId="77777777" w:rsidR="00680766" w:rsidRDefault="00680766" w:rsidP="007F4890">
      <w:pPr>
        <w:pStyle w:val="Textbezslovn"/>
      </w:pPr>
      <w:r>
        <w:t>Objednatel se zavazuje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14:paraId="0DD32EF3" w14:textId="77777777" w:rsidR="00680766" w:rsidRDefault="00680766" w:rsidP="007F4890">
      <w:pPr>
        <w:pStyle w:val="Text2-1"/>
      </w:pPr>
      <w:r>
        <w:t>V čl. 8.1.1. VTP se ruší text „posuzovací a schvalovací protokol“.</w:t>
      </w:r>
    </w:p>
    <w:p w14:paraId="79BCD5B3" w14:textId="77777777" w:rsidR="00680766" w:rsidRDefault="00680766" w:rsidP="007F4890">
      <w:pPr>
        <w:pStyle w:val="Text2-1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14:paraId="5C5F216C" w14:textId="77777777" w:rsidR="00680766" w:rsidRDefault="00680766" w:rsidP="007F4890">
      <w:pPr>
        <w:pStyle w:val="Text2-1"/>
      </w:pPr>
      <w:r>
        <w:t>Čl. 8.1.4. VTP, odstavec c) se mění takto:</w:t>
      </w:r>
    </w:p>
    <w:p w14:paraId="48920D91" w14:textId="77777777" w:rsidR="00680766" w:rsidRDefault="00D178B4" w:rsidP="007F4890">
      <w:pPr>
        <w:pStyle w:val="Textbezslovn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14:paraId="261F4BA5" w14:textId="77777777" w:rsidR="00AB4EC0" w:rsidRDefault="00AB4EC0" w:rsidP="007F4890">
      <w:pPr>
        <w:pStyle w:val="Text2-1"/>
      </w:pPr>
      <w:r>
        <w:t>Čl. 8.1.4. VTP, odstavec d) se mění takto:</w:t>
      </w:r>
    </w:p>
    <w:p w14:paraId="19A5B5DC" w14:textId="77777777" w:rsidR="00AB4EC0" w:rsidRDefault="00AB4EC0" w:rsidP="007F4890">
      <w:pPr>
        <w:pStyle w:val="Textbezslovn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053E8640" w14:textId="77777777" w:rsidR="00680766" w:rsidRDefault="00680766" w:rsidP="007F4890">
      <w:pPr>
        <w:pStyle w:val="Text2-1"/>
      </w:pPr>
      <w:r>
        <w:t>Čl. 8.1.4. VTP, odstavec e) se mění takto:</w:t>
      </w:r>
    </w:p>
    <w:p w14:paraId="4AB10A1C" w14:textId="77777777" w:rsidR="00680766" w:rsidRDefault="00680766" w:rsidP="007F4890">
      <w:pPr>
        <w:pStyle w:val="Textbezslovn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14:paraId="04DDAB3E" w14:textId="77777777" w:rsidR="00680766" w:rsidRDefault="00680766" w:rsidP="007F4890">
      <w:pPr>
        <w:pStyle w:val="Text2-1"/>
      </w:pPr>
      <w:r>
        <w:t xml:space="preserve">Čl. 8.1.4. VTP, odstavec f) se mění takto: </w:t>
      </w:r>
    </w:p>
    <w:p w14:paraId="46FF1F8C" w14:textId="77777777" w:rsidR="00680766" w:rsidRDefault="00680766" w:rsidP="007F4890">
      <w:pPr>
        <w:pStyle w:val="Textbezslovn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14:paraId="446A1646" w14:textId="77777777" w:rsidR="00680766" w:rsidRDefault="00680766" w:rsidP="007F4890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34E56228" w14:textId="77777777" w:rsidR="00680766" w:rsidRDefault="00680766" w:rsidP="007F4890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5EF3737E" w14:textId="77777777" w:rsidR="00680766" w:rsidRDefault="00680766" w:rsidP="007F4890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3CA2963F" w14:textId="77777777" w:rsidR="00680766" w:rsidRDefault="00680766" w:rsidP="007F4890">
      <w:pPr>
        <w:pStyle w:val="Text2-1"/>
      </w:pPr>
      <w:r>
        <w:t>Čl. 8.2.3. VTP se ruší.</w:t>
      </w:r>
    </w:p>
    <w:p w14:paraId="446AB0D3" w14:textId="77777777" w:rsidR="00680766" w:rsidRDefault="00680766" w:rsidP="007F4890">
      <w:pPr>
        <w:pStyle w:val="Text2-1"/>
      </w:pPr>
      <w:r>
        <w:t>V čl. 8.2.8. VTP se ruší text „</w:t>
      </w:r>
      <w:proofErr w:type="gramStart"/>
      <w:r>
        <w:t>…..v rozsahu</w:t>
      </w:r>
      <w:proofErr w:type="gramEnd"/>
      <w:r>
        <w:t xml:space="preserve"> požadavků přílohy „H“ – Dokladová část dle Směrnice GŘ č. 11 [6</w:t>
      </w:r>
      <w:r w:rsidR="00B82624">
        <w:t>4</w:t>
      </w:r>
      <w:r>
        <w:t>]“. Ruší se odstavec b).</w:t>
      </w:r>
    </w:p>
    <w:p w14:paraId="4C0E627F" w14:textId="77777777" w:rsidR="00680766" w:rsidRDefault="00680766" w:rsidP="007F4890">
      <w:pPr>
        <w:pStyle w:val="Text2-1"/>
      </w:pPr>
      <w:r>
        <w:t>Čl. 8.3.3. VTP se mění takto:</w:t>
      </w:r>
    </w:p>
    <w:p w14:paraId="5EE585CA" w14:textId="77777777" w:rsidR="00680766" w:rsidRDefault="00680766" w:rsidP="007F4890">
      <w:pPr>
        <w:pStyle w:val="Textbezslovn"/>
      </w:pPr>
      <w:r>
        <w:lastRenderedPageBreak/>
        <w:t xml:space="preserve">Předání Dokumentace skutečného provedení stavby týkající se Díla Zhotovitelem Objednateli proběhne v listinné podobě ve 3 vyhotoveních pro technickou část do 2 měsíců, pro </w:t>
      </w:r>
      <w:r w:rsidR="004550ED">
        <w:t xml:space="preserve">souborné zpracování </w:t>
      </w:r>
      <w:r>
        <w:t>geodetick</w:t>
      </w:r>
      <w:r w:rsidR="004550ED">
        <w:t>é</w:t>
      </w:r>
      <w:r>
        <w:t xml:space="preserve"> část</w:t>
      </w:r>
      <w:r w:rsidR="004550ED">
        <w:t>i</w:t>
      </w:r>
      <w:r>
        <w:t xml:space="preserve"> do 2 měsíců a kompletní dokumentace v elektronické podobě v rozsahu dle odstavce 8.3.5 těchto VTP do 3 měsíců ode dne, kdy byl vydán </w:t>
      </w:r>
      <w:r w:rsidR="00AF2CCC">
        <w:t xml:space="preserve">poslední </w:t>
      </w:r>
      <w:r>
        <w:t>Zápis o předání a převzetí Díla, nejpozději však do termínu ukončení smluvního vztahu.</w:t>
      </w:r>
    </w:p>
    <w:p w14:paraId="264A868D" w14:textId="77777777" w:rsidR="00680766" w:rsidRDefault="00680766" w:rsidP="007F4890">
      <w:pPr>
        <w:pStyle w:val="Text2-1"/>
      </w:pPr>
      <w:r>
        <w:t>Čl. 8.3.4. VTP se ruší.</w:t>
      </w:r>
    </w:p>
    <w:p w14:paraId="1418A5D8" w14:textId="77777777" w:rsidR="00680766" w:rsidRDefault="00680766" w:rsidP="007F4890">
      <w:pPr>
        <w:pStyle w:val="Text2-1"/>
      </w:pPr>
      <w:r>
        <w:t>Čl. 8.3.5. VTP se mění takto:</w:t>
      </w:r>
    </w:p>
    <w:p w14:paraId="109F020C" w14:textId="77777777" w:rsidR="00680766" w:rsidRDefault="00680766" w:rsidP="007F4890">
      <w:pPr>
        <w:pStyle w:val="Textbezslovn"/>
      </w:pPr>
      <w:r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3F1E5123" w14:textId="77777777" w:rsidR="00680766" w:rsidRDefault="00680766" w:rsidP="007F4890">
      <w:pPr>
        <w:pStyle w:val="Textbezslovn"/>
      </w:pPr>
      <w:r>
        <w:t>2 × CD (DVD) – kompletní dokumentace stavby v otevřené formě</w:t>
      </w:r>
    </w:p>
    <w:p w14:paraId="091B9033" w14:textId="77777777" w:rsidR="00680766" w:rsidRDefault="00680766" w:rsidP="007F4890">
      <w:pPr>
        <w:pStyle w:val="Textbezslovn"/>
      </w:pPr>
      <w:r>
        <w:t>2 × CD (DVD) – kompletní dokumentace stavby v uzavřené formě</w:t>
      </w:r>
    </w:p>
    <w:p w14:paraId="017797E6" w14:textId="77777777" w:rsidR="00AF2CCC" w:rsidRDefault="00AF2CCC" w:rsidP="007F4890">
      <w:pPr>
        <w:pStyle w:val="Text2-1"/>
      </w:pPr>
      <w:r w:rsidRPr="00AF2CCC">
        <w:t xml:space="preserve">V čl. 8.3.6. VTP se ruší text“… </w:t>
      </w:r>
      <w:proofErr w:type="gramStart"/>
      <w:r w:rsidRPr="00AF2CCC">
        <w:t>*.XML</w:t>
      </w:r>
      <w:proofErr w:type="gramEnd"/>
      <w:r w:rsidRPr="00AF2CCC">
        <w:t xml:space="preserve"> (datový předpis XDC)“.</w:t>
      </w:r>
    </w:p>
    <w:p w14:paraId="640AFBD7" w14:textId="77777777" w:rsidR="00680766" w:rsidRDefault="00680766" w:rsidP="007F4890">
      <w:pPr>
        <w:pStyle w:val="Text2-1"/>
      </w:pPr>
      <w:r>
        <w:t>Čl. 10.2.5. VTP se mění takto:</w:t>
      </w:r>
    </w:p>
    <w:p w14:paraId="146C442C" w14:textId="02C4ABBE" w:rsidR="00680766" w:rsidRDefault="00FE2DED" w:rsidP="007F4890">
      <w:pPr>
        <w:pStyle w:val="Textbezslovn"/>
      </w:pPr>
      <w:r>
        <w:t>Neobsazeno</w:t>
      </w:r>
    </w:p>
    <w:p w14:paraId="1CAB658B" w14:textId="77777777" w:rsidR="008F5F18" w:rsidRDefault="008F5F18" w:rsidP="007F4890">
      <w:pPr>
        <w:pStyle w:val="Text2-1"/>
      </w:pPr>
      <w:r>
        <w:t xml:space="preserve">Pro přesnou identifikaci podzemních sítí, metalických a optických kabelů, kanalizace, vody a plynu budou použity RFID </w:t>
      </w:r>
      <w:proofErr w:type="spellStart"/>
      <w:r>
        <w:t>markery</w:t>
      </w:r>
      <w:proofErr w:type="spellEnd"/>
      <w:r>
        <w:t xml:space="preserve">. Mohou se používat pouze </w:t>
      </w:r>
      <w:proofErr w:type="spellStart"/>
      <w:r>
        <w:t>markery</w:t>
      </w:r>
      <w:proofErr w:type="spellEnd"/>
      <w:r>
        <w:t>, u kterých není nutné při ukládání dbát na jejich orientaci. V rámci jednotného značení v sítích SŽ je nutné zachovat standardní barevné značení, které doporučují výrobci.</w:t>
      </w:r>
    </w:p>
    <w:p w14:paraId="76633E5D" w14:textId="77777777" w:rsidR="008F5F18" w:rsidRDefault="008F5F18" w:rsidP="007F4890">
      <w:pPr>
        <w:pStyle w:val="Textbezslovn"/>
      </w:pPr>
      <w:r>
        <w:t xml:space="preserve">Minimální požadavky na použití </w:t>
      </w:r>
      <w:proofErr w:type="spellStart"/>
      <w:r w:rsidRPr="007F4890">
        <w:t>markerů</w:t>
      </w:r>
      <w:proofErr w:type="spellEnd"/>
      <w:r>
        <w:t xml:space="preserve"> jsou následující:</w:t>
      </w:r>
    </w:p>
    <w:p w14:paraId="585C70D1" w14:textId="77777777" w:rsidR="008F5F18" w:rsidRDefault="008F5F18" w:rsidP="007F4890">
      <w:pPr>
        <w:pStyle w:val="Odstavec1-1a"/>
        <w:numPr>
          <w:ilvl w:val="0"/>
          <w:numId w:val="19"/>
        </w:numPr>
      </w:pPr>
      <w:r>
        <w:t xml:space="preserve">Silová zařízení a kabely (včetně kabelů určených k napájení zabezpečovacích zařízení) – červený </w:t>
      </w:r>
      <w:proofErr w:type="spellStart"/>
      <w:r>
        <w:t>marker</w:t>
      </w:r>
      <w:proofErr w:type="spellEnd"/>
      <w:r>
        <w:t xml:space="preserve"> (169,8 kHz)</w:t>
      </w:r>
    </w:p>
    <w:p w14:paraId="6D60E5A7" w14:textId="77777777" w:rsidR="008F5F18" w:rsidRDefault="008F5F18" w:rsidP="007F4890">
      <w:pPr>
        <w:pStyle w:val="Odrka1-4"/>
      </w:pPr>
      <w:r>
        <w:t xml:space="preserve">trasy kabelů (v případě požadavku umístění po cca 50 m), přípojky, zakopané spojky, </w:t>
      </w:r>
      <w:r w:rsidRPr="008726E7">
        <w:t>křížení</w:t>
      </w:r>
      <w:r>
        <w:t xml:space="preserve"> kabelů, servisní smyčky, paty instalačních trubek, ohyby, změny hloubky, poklopy, rozvodové smyčky.</w:t>
      </w:r>
    </w:p>
    <w:p w14:paraId="39572ECE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Rozvody vody a jejich zařízení - modrý </w:t>
      </w:r>
      <w:proofErr w:type="spellStart"/>
      <w:r>
        <w:t>marker</w:t>
      </w:r>
      <w:proofErr w:type="spellEnd"/>
      <w:r>
        <w:t xml:space="preserve"> (145,7 kHz)</w:t>
      </w:r>
    </w:p>
    <w:p w14:paraId="60AB677B" w14:textId="77777777" w:rsidR="008F5F18" w:rsidRDefault="008F5F18" w:rsidP="007F4890">
      <w:pPr>
        <w:pStyle w:val="Odrka1-4"/>
      </w:pPr>
      <w:r>
        <w:t>trasy potrubí, paty servisních sloupců, potrubí z PVC, všechny typy ventilů, křížení, rozdvojky, čistící výstupy, konce obalů.</w:t>
      </w:r>
    </w:p>
    <w:p w14:paraId="2AADC0F0" w14:textId="77777777" w:rsidR="008F5F18" w:rsidRDefault="008F5F18" w:rsidP="008F5F18">
      <w:pPr>
        <w:pStyle w:val="Odstavec1-1a"/>
        <w:keepNext/>
        <w:numPr>
          <w:ilvl w:val="0"/>
          <w:numId w:val="6"/>
        </w:numPr>
      </w:pPr>
      <w:r>
        <w:t xml:space="preserve">Rozvody plynu a jejich zařízení – žlutý </w:t>
      </w:r>
      <w:proofErr w:type="spellStart"/>
      <w:r>
        <w:t>marker</w:t>
      </w:r>
      <w:proofErr w:type="spellEnd"/>
      <w:r>
        <w:t xml:space="preserve"> (383,0 kHz)</w:t>
      </w:r>
    </w:p>
    <w:p w14:paraId="66CF7633" w14:textId="77777777" w:rsidR="008F5F18" w:rsidRDefault="008F5F18" w:rsidP="007F4890">
      <w:pPr>
        <w:pStyle w:val="Odrka1-4"/>
      </w:pPr>
      <w:r>
        <w:t xml:space="preserve">trasy potrubí, paty rozvodných sloupů, paty servisních sloupů, křížení, všechny typy ventilů, měřicí </w:t>
      </w:r>
      <w:r w:rsidRPr="008726E7">
        <w:t>skříně</w:t>
      </w:r>
      <w:r>
        <w:t xml:space="preserve">, ukončovací armatury, hloubkové změny, překladové armatury, stlačená místa, armatury na regulaci tlaku, </w:t>
      </w:r>
      <w:proofErr w:type="spellStart"/>
      <w:r>
        <w:t>elektrotavné</w:t>
      </w:r>
      <w:proofErr w:type="spellEnd"/>
      <w:r>
        <w:t xml:space="preserve"> spojky, všechny typy armatur a spojů.</w:t>
      </w:r>
    </w:p>
    <w:p w14:paraId="3FF67984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Sdělovací zařízení a kabely – oranžový </w:t>
      </w:r>
      <w:proofErr w:type="spellStart"/>
      <w:r>
        <w:t>marker</w:t>
      </w:r>
      <w:proofErr w:type="spellEnd"/>
      <w:r>
        <w:t xml:space="preserve"> (101,4 kHz)</w:t>
      </w:r>
    </w:p>
    <w:p w14:paraId="6DA08183" w14:textId="77777777" w:rsidR="008F5F18" w:rsidRDefault="008F5F18" w:rsidP="007F4890">
      <w:pPr>
        <w:pStyle w:val="Odrka1-4"/>
      </w:pPr>
      <w:r>
        <w:t xml:space="preserve">trasy kabelů sdělovacích optických a HDPE (v případě požadavku umístění po cca 50 m a na lomové body), uložení kabelových metalických spojek, anomálie na </w:t>
      </w:r>
      <w:r w:rsidRPr="008726E7">
        <w:t>kabelové</w:t>
      </w:r>
      <w:r>
        <w:t xml:space="preserve"> trase – v případě požadavku správce, kabelové rezervy metalických, optických a kombinovaných (hybridních) kabelů, odbočné body z páteřních tras optických kabelů a HDPE uložení spojek optických a 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41956026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Zabezpečovací zařízení – fialový </w:t>
      </w:r>
      <w:proofErr w:type="spellStart"/>
      <w:r>
        <w:t>marker</w:t>
      </w:r>
      <w:proofErr w:type="spellEnd"/>
      <w:r>
        <w:t xml:space="preserve"> (66,35 kHz)</w:t>
      </w:r>
    </w:p>
    <w:p w14:paraId="1A965877" w14:textId="77777777" w:rsidR="008F5F18" w:rsidRDefault="008F5F18" w:rsidP="007F4890">
      <w:pPr>
        <w:pStyle w:val="Odrka1-4"/>
      </w:pPr>
      <w:r>
        <w:t xml:space="preserve">trasy kabelů zabezpečovacích, včetně kabelů optických a HDPE – doporučené umístění </w:t>
      </w:r>
      <w:proofErr w:type="spellStart"/>
      <w:r>
        <w:t>markeru</w:t>
      </w:r>
      <w:proofErr w:type="spellEnd"/>
      <w:r>
        <w:t xml:space="preserve"> po cca 50 m a na lomové body, uložení kabelových metalických spojek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anomálie na kabelové trase (</w:t>
      </w:r>
      <w:r w:rsidRPr="008726E7">
        <w:t>např</w:t>
      </w:r>
      <w:r>
        <w:t xml:space="preserve">. změny hloubky, odbočné body) – v případě požadavku správce </w:t>
      </w:r>
      <w:proofErr w:type="spellStart"/>
      <w:r w:rsidRPr="008726E7"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provedení, kabelové rezervy metalických,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uložení spojek optických a </w:t>
      </w:r>
      <w:r>
        <w:lastRenderedPageBreak/>
        <w:t>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14CC8BB9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Odpadní voda – zelený </w:t>
      </w:r>
      <w:proofErr w:type="spellStart"/>
      <w:r>
        <w:t>marker</w:t>
      </w:r>
      <w:proofErr w:type="spellEnd"/>
      <w:r>
        <w:t xml:space="preserve"> (121,6 kHz)</w:t>
      </w:r>
    </w:p>
    <w:p w14:paraId="0618FE6B" w14:textId="77777777" w:rsidR="008F5F18" w:rsidRDefault="008F5F18" w:rsidP="007F4890">
      <w:pPr>
        <w:pStyle w:val="Odrka1-4"/>
      </w:pPr>
      <w:r>
        <w:t>ventily, všechny typy armatur, čistící výstupy, paty servisních sloupců, vedlejší vedení, značení tras nekovových objektů.</w:t>
      </w:r>
    </w:p>
    <w:p w14:paraId="07E509EB" w14:textId="77777777" w:rsidR="008F5F18" w:rsidRDefault="008F5F18" w:rsidP="007F4890">
      <w:pPr>
        <w:pStyle w:val="Textbezslovn"/>
      </w:pPr>
      <w:r>
        <w:t>Označníky je nutno k uloženým kabelům, potrubím a podzemním zařízením pevně upevňovat (např. plastovou vázací páskou).</w:t>
      </w:r>
    </w:p>
    <w:p w14:paraId="78BA34F0" w14:textId="77777777" w:rsidR="008F5F18" w:rsidRDefault="008F5F18" w:rsidP="007F4890">
      <w:pPr>
        <w:pStyle w:val="Textbezslovn"/>
      </w:pPr>
      <w:r>
        <w:t xml:space="preserve">U sdělovacích a zabezpečovacích kabelů OŘ se bude informace o </w:t>
      </w:r>
      <w:proofErr w:type="spellStart"/>
      <w:r>
        <w:t>markerech</w:t>
      </w:r>
      <w:proofErr w:type="spellEnd"/>
      <w:r>
        <w:t xml:space="preserve"> zadávat do pasportu do volitelné položky 2 pod označením „RFID“.</w:t>
      </w:r>
    </w:p>
    <w:p w14:paraId="1A8DE0B6" w14:textId="77777777" w:rsidR="008F5F18" w:rsidRDefault="008F5F18" w:rsidP="008F5F18">
      <w:pPr>
        <w:pStyle w:val="Textbezslovn"/>
      </w:pPr>
      <w:r>
        <w:t>U složek, které nemají žádnou elektronickou databázi, se bude tato informace zadávat ve stejném znění do dokumentace.</w:t>
      </w:r>
    </w:p>
    <w:p w14:paraId="4FF273F8" w14:textId="77777777" w:rsidR="008F5F18" w:rsidRDefault="008F5F18" w:rsidP="008F5F18">
      <w:pPr>
        <w:pStyle w:val="Textbezslovn"/>
      </w:pPr>
      <w:r>
        <w:t xml:space="preserve">Informace o použití </w:t>
      </w:r>
      <w:proofErr w:type="spellStart"/>
      <w:r>
        <w:t>markerů</w:t>
      </w:r>
      <w:proofErr w:type="spellEnd"/>
      <w:r>
        <w:t xml:space="preserve"> bude zaznamenaná do DSPS.</w:t>
      </w:r>
    </w:p>
    <w:p w14:paraId="2357C05F" w14:textId="77777777" w:rsidR="008F5F18" w:rsidRDefault="008F5F18" w:rsidP="008F5F18">
      <w:pPr>
        <w:pStyle w:val="Textbezslovn"/>
      </w:pPr>
      <w:r>
        <w:t xml:space="preserve">Do digitální dokumentace se budou zaznamenávat </w:t>
      </w:r>
      <w:proofErr w:type="spellStart"/>
      <w:r>
        <w:t>markery</w:t>
      </w:r>
      <w:proofErr w:type="spellEnd"/>
      <w:r>
        <w:t xml:space="preserve"> ve tvaru kolečka s velkým písmenem M uprostřed ve všech 6</w:t>
      </w:r>
      <w:r w:rsidR="005F0E69">
        <w:t xml:space="preserve"> </w:t>
      </w:r>
      <w:r>
        <w:t xml:space="preserve">vrstvách odpovídajících kategoriím podzemních vedení. Značka bude tvarově stejná pro všech 6 vrstev, rozlišení kategorie bude pouze barvou, která bude odpovídat barvě </w:t>
      </w:r>
      <w:proofErr w:type="spellStart"/>
      <w:r>
        <w:t>markeru</w:t>
      </w:r>
      <w:proofErr w:type="spellEnd"/>
      <w:r>
        <w:t>.</w:t>
      </w:r>
    </w:p>
    <w:p w14:paraId="787BB6BA" w14:textId="16820C94" w:rsidR="008F5F18" w:rsidRPr="00FE2DED" w:rsidRDefault="00FE2DED" w:rsidP="007F4890">
      <w:pPr>
        <w:pStyle w:val="Text2-1"/>
      </w:pPr>
      <w:r w:rsidRPr="00FE2DED">
        <w:t>Neobsazeno</w:t>
      </w:r>
    </w:p>
    <w:p w14:paraId="3D1E02F1" w14:textId="77777777" w:rsidR="00DF7BAA" w:rsidRDefault="00DF7BAA" w:rsidP="00DF7BAA">
      <w:pPr>
        <w:pStyle w:val="Nadpis2-2"/>
      </w:pPr>
      <w:bookmarkStart w:id="25" w:name="_Toc21501952"/>
      <w:r>
        <w:t xml:space="preserve">Zeměměřická </w:t>
      </w:r>
      <w:r w:rsidRPr="0080577B">
        <w:t>činnost</w:t>
      </w:r>
      <w:r>
        <w:t xml:space="preserve"> zhotovitele</w:t>
      </w:r>
      <w:bookmarkEnd w:id="25"/>
    </w:p>
    <w:p w14:paraId="4363BDAE" w14:textId="0BEFBB08" w:rsidR="00084867" w:rsidRDefault="00084867" w:rsidP="007F4890">
      <w:pPr>
        <w:pStyle w:val="Text2-1"/>
      </w:pPr>
      <w:r>
        <w:t xml:space="preserve">Kontakt pro zjištění informací o bodech ŽBP je </w:t>
      </w:r>
      <w:r w:rsidR="00446218">
        <w:t xml:space="preserve">úředně oprávněný zeměměřičský inženýr Objednatele (dále jen </w:t>
      </w:r>
      <w:r w:rsidR="00576A07">
        <w:t>„</w:t>
      </w:r>
      <w:r w:rsidR="00446218">
        <w:t xml:space="preserve">ÚOZI </w:t>
      </w:r>
      <w:proofErr w:type="gramStart"/>
      <w:r w:rsidR="00446218">
        <w:t>Objednatele“</w:t>
      </w:r>
      <w:r w:rsidR="00576A07">
        <w:t>)</w:t>
      </w:r>
      <w:r w:rsidR="00446218">
        <w:t xml:space="preserve"> </w:t>
      </w:r>
      <w:r w:rsidR="009628A4">
        <w:t>.</w:t>
      </w:r>
      <w:proofErr w:type="gramEnd"/>
      <w:r>
        <w:t xml:space="preserve"> </w:t>
      </w:r>
    </w:p>
    <w:p w14:paraId="647085CA" w14:textId="77777777" w:rsidR="00446218" w:rsidRDefault="00446218" w:rsidP="007F4890">
      <w:pPr>
        <w:pStyle w:val="Text2-1"/>
      </w:pPr>
      <w:r>
        <w:t xml:space="preserve">Poskytování geodetických podkladů se řídí Pokynem generálního ředitele </w:t>
      </w:r>
      <w:r w:rsidR="007C0C8F">
        <w:t xml:space="preserve">                  </w:t>
      </w:r>
      <w:r>
        <w:t>SŽ PO-06/2020-GŘ.</w:t>
      </w:r>
    </w:p>
    <w:p w14:paraId="4BC97E75" w14:textId="77777777" w:rsidR="00446218" w:rsidRDefault="00446218" w:rsidP="007F4890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0C0533CF" w14:textId="77777777" w:rsidR="00446218" w:rsidRDefault="00446218" w:rsidP="007F4890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3EA155DB" w14:textId="77777777" w:rsidR="00446218" w:rsidRDefault="00446218" w:rsidP="007F4890">
      <w:pPr>
        <w:pStyle w:val="Text2-1"/>
      </w:pPr>
      <w:r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4E677B3D" w14:textId="77777777" w:rsidR="00446218" w:rsidRDefault="00446218" w:rsidP="007F4890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72EFB457" w14:textId="77777777" w:rsidR="00446218" w:rsidRDefault="00446218" w:rsidP="007F4890">
      <w:pPr>
        <w:pStyle w:val="Text2-1"/>
      </w:pPr>
      <w:r>
        <w:t xml:space="preserve">Případné doplňující měření geodetických a mapových podkladů nebo ověření osy koleje pro vypracování projektové dokumentace nebo projektu PPK zajistí Zhotovitel na vlastní náklady podle Metodických pokynů uvedených v bodě </w:t>
      </w:r>
      <w:r w:rsidR="00C90DBF">
        <w:t>6.2.1 a 6.4.3 VTP</w:t>
      </w:r>
      <w:r>
        <w:t xml:space="preserve"> a předá ÚOZI Objednatele ke kontrole.</w:t>
      </w:r>
    </w:p>
    <w:p w14:paraId="70E65DFF" w14:textId="77777777" w:rsidR="00446218" w:rsidRDefault="00446218" w:rsidP="007F4890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</w:t>
      </w:r>
      <w:r>
        <w:lastRenderedPageBreak/>
        <w:t xml:space="preserve">nového ŽBP bude součástí DSPS v případě, že samotné DSPS je součástí smluvního vztahu. </w:t>
      </w:r>
    </w:p>
    <w:p w14:paraId="50B0EB28" w14:textId="77777777" w:rsidR="00446218" w:rsidRDefault="00446218" w:rsidP="007F4890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2E3A508C" w14:textId="77777777" w:rsidR="00446218" w:rsidRDefault="00446218" w:rsidP="007F4890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14:paraId="0E30DDBC" w14:textId="77777777" w:rsidR="00446218" w:rsidRDefault="00446218" w:rsidP="007F4890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</w:t>
      </w:r>
      <w:r w:rsidR="00377F85">
        <w:t xml:space="preserve">č. </w:t>
      </w:r>
      <w:r>
        <w:t>107, dokumentaci k ověření PPK (viz také Metodický pokyn SŽDC M20/MP004 Metodický pokyn pro měření prostorové polohy koleje</w:t>
      </w:r>
      <w:r w:rsidR="00377F85">
        <w:t>)</w:t>
      </w:r>
      <w:r>
        <w:t>.</w:t>
      </w:r>
    </w:p>
    <w:p w14:paraId="03B724BB" w14:textId="77777777" w:rsidR="00446218" w:rsidRDefault="00067EA3" w:rsidP="007F4890">
      <w:pPr>
        <w:pStyle w:val="Text2-1"/>
      </w:pPr>
      <w:r>
        <w:t xml:space="preserve">Čl. 6.4.1 VTP se mění takto: </w:t>
      </w:r>
      <w:r w:rsidR="00446218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="00446218">
        <w:t>Bpv</w:t>
      </w:r>
      <w:proofErr w:type="spellEnd"/>
      <w:r w:rsidR="00446218">
        <w:t>.</w:t>
      </w:r>
    </w:p>
    <w:p w14:paraId="2408CC96" w14:textId="77777777" w:rsidR="00446218" w:rsidRDefault="00067EA3" w:rsidP="007F4890">
      <w:pPr>
        <w:pStyle w:val="Text2-1"/>
      </w:pPr>
      <w:r>
        <w:t xml:space="preserve">Čl. 6.4.5 VTP se mění takto: </w:t>
      </w:r>
      <w:r w:rsidR="00446218">
        <w:t xml:space="preserve">Zpracování geodetické části dokumentace skutečného provedení PS a SO nebo jejich částí a souborného zpracování geodetické části DSPS v rámci provádění díla bude Zhotovitelem provedeno přiměřeně podle Směrnice č. 117 Předávání digitální dokumentace z investiční výstavby SŽDC. </w:t>
      </w:r>
    </w:p>
    <w:p w14:paraId="009D683E" w14:textId="77777777" w:rsidR="00446218" w:rsidRDefault="00446218" w:rsidP="007F4890">
      <w:pPr>
        <w:pStyle w:val="Text2-1"/>
      </w:pPr>
      <w:r>
        <w:t>Nedílnou součástí odevzdání je také projektová dokumentace PPK, případně její aktualizovaná verze, pokud došlo vlivem stavebních prací k její úpravě (např. i změna nivelety).</w:t>
      </w:r>
    </w:p>
    <w:p w14:paraId="31B4CC85" w14:textId="77777777" w:rsidR="00446218" w:rsidRDefault="00446218" w:rsidP="007F4890">
      <w:pPr>
        <w:pStyle w:val="Text2-1"/>
      </w:pPr>
      <w:r>
        <w:t xml:space="preserve"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</w:t>
      </w:r>
      <w:r w:rsidR="00C90DBF">
        <w:t xml:space="preserve">     </w:t>
      </w:r>
      <w:r>
        <w:t>2. třídu přesnosti.</w:t>
      </w:r>
    </w:p>
    <w:p w14:paraId="0016D46D" w14:textId="77777777" w:rsidR="00446218" w:rsidRDefault="00446218" w:rsidP="007F4890">
      <w:pPr>
        <w:pStyle w:val="Text2-1"/>
      </w:pPr>
      <w:r>
        <w:t xml:space="preserve">Po úpravě GPK Zhotovitel zajistí zaměření všech kolejových objektů (např. </w:t>
      </w:r>
      <w:proofErr w:type="spellStart"/>
      <w:r>
        <w:t>balíza</w:t>
      </w:r>
      <w:proofErr w:type="spellEnd"/>
      <w:r>
        <w:t xml:space="preserve">, kolejnicový </w:t>
      </w:r>
      <w:proofErr w:type="spellStart"/>
      <w:r>
        <w:t>mazník</w:t>
      </w:r>
      <w:proofErr w:type="spellEnd"/>
      <w:r>
        <w:t>, snímač počítače náprav, kolejová brzda, výkolejka a další), u kterých došlo ke změně polohy a výšky při úpravě GPK a následně zapracuje do DSPS.</w:t>
      </w:r>
    </w:p>
    <w:p w14:paraId="06E00ADE" w14:textId="77777777" w:rsidR="00446218" w:rsidRDefault="00446218" w:rsidP="007F4890">
      <w:pPr>
        <w:pStyle w:val="Text2-1"/>
      </w:pPr>
      <w:r>
        <w:t xml:space="preserve">V případě, že je realizován  PS, SO (nebo jeho část) v nové trase nebo nové poloze oproti stávajícímu stavu a bude se nacházet na pozemcích, které nejsou ve vlastnictví Správy železnic a jsou ve vzdálenosti od hranice pozemku ve vlastnictví Správy železnic prokazatelně </w:t>
      </w:r>
      <w:proofErr w:type="gramStart"/>
      <w:r>
        <w:t>větší než</w:t>
      </w:r>
      <w:proofErr w:type="gramEnd"/>
      <w:r>
        <w:t xml:space="preserve">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C0D9764" w14:textId="77777777" w:rsidR="00446218" w:rsidRDefault="00446218" w:rsidP="007F4890">
      <w:pPr>
        <w:pStyle w:val="Text2-1"/>
      </w:pPr>
      <w:r>
        <w:t>Pro stanovení rozsahu šířky věcného břemene pro PS, SO, které jsou anebo budou ve správě či vlastnictví Správy železnic</w:t>
      </w:r>
      <w:r w:rsidR="00935987">
        <w:t>,</w:t>
      </w:r>
      <w:r>
        <w:t xml:space="preserve"> platí tabulka Rozsah věcných břemen ke stažení na webovém odkazu https://www.spravazeleznic.cz/stavby-zakazky/podklady-pro-zhotovitele/zaborovy-elaborat.</w:t>
      </w:r>
    </w:p>
    <w:p w14:paraId="1075B1AD" w14:textId="77777777" w:rsidR="00446218" w:rsidRDefault="00446218" w:rsidP="007F4890">
      <w:pPr>
        <w:pStyle w:val="Text2-1"/>
      </w:pPr>
      <w:r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0E2DF771" w14:textId="7644A38E" w:rsidR="00084867" w:rsidRPr="009628A4" w:rsidRDefault="009628A4" w:rsidP="007F4890">
      <w:pPr>
        <w:pStyle w:val="Text2-1"/>
      </w:pPr>
      <w:r w:rsidRPr="009628A4">
        <w:t>Neobsazeno</w:t>
      </w:r>
    </w:p>
    <w:p w14:paraId="37290148" w14:textId="77777777" w:rsidR="00DF7BAA" w:rsidRDefault="00DF7BAA" w:rsidP="00DF7BAA">
      <w:pPr>
        <w:pStyle w:val="Nadpis2-2"/>
      </w:pPr>
      <w:bookmarkStart w:id="26" w:name="_Toc6410438"/>
      <w:bookmarkStart w:id="27" w:name="_Toc21501953"/>
      <w:r>
        <w:lastRenderedPageBreak/>
        <w:t>Doklady překládané zhotovitelem</w:t>
      </w:r>
      <w:bookmarkEnd w:id="26"/>
      <w:bookmarkEnd w:id="27"/>
    </w:p>
    <w:p w14:paraId="167DB06A" w14:textId="4123994D" w:rsidR="009628A4" w:rsidRDefault="009628A4" w:rsidP="009628A4">
      <w:pPr>
        <w:pStyle w:val="Text2-1"/>
        <w:numPr>
          <w:ilvl w:val="2"/>
          <w:numId w:val="7"/>
        </w:numPr>
        <w:tabs>
          <w:tab w:val="num" w:pos="737"/>
        </w:tabs>
        <w:ind w:left="737"/>
      </w:pPr>
      <w:r w:rsidRPr="008D403B">
        <w:t>Zhotovitel doloží mimo jiné prosté kopie dokladů o kvalifikaci zhotovitelů dle Předpisu o odborné způsobilosti a znalosti osob při provozování dráhy a drážní dopravy SŽ Zam1, v platném znění:</w:t>
      </w:r>
    </w:p>
    <w:p w14:paraId="656DCB6D" w14:textId="77777777" w:rsidR="00981CB3" w:rsidRDefault="00981CB3" w:rsidP="00981CB3">
      <w:pPr>
        <w:pStyle w:val="Text2-1"/>
      </w:pPr>
      <w:r>
        <w:t>profesní způsobilost: „projektová činnost ve výstavbě“.</w:t>
      </w:r>
    </w:p>
    <w:p w14:paraId="4293A436" w14:textId="77777777" w:rsidR="00981CB3" w:rsidRPr="00981CB3" w:rsidRDefault="00981CB3" w:rsidP="00981CB3">
      <w:pPr>
        <w:pStyle w:val="Text2-1"/>
      </w:pPr>
      <w:r w:rsidRPr="00981CB3">
        <w:tab/>
        <w:t>osvědčení odborné způsobilosti alespoň 1 osoby dle zákona 360/1992 Sb., o výkonu povolání autorizovaných architektů a o výkonu autorizovaných inženýrů a techniků činných ve výstavbě ve znění pozdějších předpisů – autorizovaný inženýr, technik nebo stavitel pro obor „Technologická zařízení staveb“,</w:t>
      </w:r>
    </w:p>
    <w:p w14:paraId="4021F242" w14:textId="77777777" w:rsidR="00981CB3" w:rsidRDefault="00981CB3" w:rsidP="00546E89">
      <w:pPr>
        <w:pStyle w:val="Text2-1"/>
        <w:numPr>
          <w:ilvl w:val="0"/>
          <w:numId w:val="0"/>
        </w:numPr>
        <w:ind w:left="907"/>
      </w:pPr>
    </w:p>
    <w:p w14:paraId="7157A9C3" w14:textId="26BB3CA1" w:rsidR="00981CB3" w:rsidRDefault="00981CB3" w:rsidP="00981CB3">
      <w:pPr>
        <w:pStyle w:val="Text2-1"/>
      </w:pPr>
      <w:r>
        <w:t xml:space="preserve">technická kvalifikace projektování </w:t>
      </w:r>
      <w:r w:rsidR="00977D4B">
        <w:t xml:space="preserve">elektroinstalací budov, </w:t>
      </w:r>
      <w:r>
        <w:t xml:space="preserve">pevných trakčních nebo silnoproudých zařízení (např. trakční vedení, trakční napájecí nebo spínací stanice, osvětlení železničních prostranství, silnoproudé rozvody, rozvody pro napájení zabezpečovacího zařízení, elektrické </w:t>
      </w:r>
      <w:proofErr w:type="spellStart"/>
      <w:r>
        <w:t>předtápěcí</w:t>
      </w:r>
      <w:proofErr w:type="spellEnd"/>
      <w:r>
        <w:t xml:space="preserve"> zařízení, ohřevy výměn, dálková řídící technika apod.).</w:t>
      </w:r>
    </w:p>
    <w:p w14:paraId="4B188B3C" w14:textId="77777777" w:rsidR="00981CB3" w:rsidRDefault="00981CB3" w:rsidP="00546E89">
      <w:pPr>
        <w:pStyle w:val="Text2-1"/>
        <w:numPr>
          <w:ilvl w:val="0"/>
          <w:numId w:val="0"/>
        </w:numPr>
        <w:ind w:left="907"/>
      </w:pPr>
    </w:p>
    <w:p w14:paraId="07A25E22" w14:textId="77777777" w:rsidR="00981CB3" w:rsidRDefault="00981CB3" w:rsidP="00981CB3">
      <w:pPr>
        <w:pStyle w:val="Text2-1"/>
      </w:pPr>
      <w:r>
        <w:t>požadavky na konkrétní osobu – specialista pro projektovou dokumentaci:</w:t>
      </w:r>
    </w:p>
    <w:p w14:paraId="7B01EFF3" w14:textId="77777777" w:rsidR="00981CB3" w:rsidRDefault="00981CB3" w:rsidP="00546E89">
      <w:pPr>
        <w:pStyle w:val="Text2-1"/>
        <w:numPr>
          <w:ilvl w:val="0"/>
          <w:numId w:val="0"/>
        </w:numPr>
        <w:ind w:left="907"/>
      </w:pPr>
    </w:p>
    <w:p w14:paraId="145F46EC" w14:textId="77777777" w:rsidR="00981CB3" w:rsidRDefault="00981CB3" w:rsidP="00981CB3">
      <w:pPr>
        <w:pStyle w:val="Text2-1"/>
      </w:pPr>
      <w:r>
        <w:t>- vysokoškolské vzdělání;</w:t>
      </w:r>
    </w:p>
    <w:p w14:paraId="26309923" w14:textId="77777777" w:rsidR="00981CB3" w:rsidRDefault="00981CB3" w:rsidP="00546E89">
      <w:pPr>
        <w:pStyle w:val="Text2-1"/>
        <w:numPr>
          <w:ilvl w:val="0"/>
          <w:numId w:val="0"/>
        </w:numPr>
        <w:ind w:left="851"/>
      </w:pPr>
    </w:p>
    <w:p w14:paraId="316F9F8B" w14:textId="48A578E2" w:rsidR="00981CB3" w:rsidRDefault="00981CB3" w:rsidP="00981CB3">
      <w:pPr>
        <w:pStyle w:val="Text2-1"/>
      </w:pPr>
      <w:r>
        <w:t xml:space="preserve">- nejméně 5 let praxe v projektování zakázek na projektové práce pro stavby železničních drah ve stupni DSP nebo DUSP nebo ve stupni PDPS, které obsahovaly mimo jiné alespoň následující činnosti: projektování pevných silnoproudých zařízení (např. osvětlení železničních prostranství, silnoproudé rozvody, rozvody pro napájení zabezpečovacího zařízení, elektrické </w:t>
      </w:r>
      <w:proofErr w:type="spellStart"/>
      <w:r>
        <w:t>předtápěcí</w:t>
      </w:r>
      <w:proofErr w:type="spellEnd"/>
      <w:r>
        <w:t xml:space="preserve"> zařízení, ohřevy výměn, dálková řídící technika apod.);</w:t>
      </w:r>
    </w:p>
    <w:p w14:paraId="22486A72" w14:textId="77777777" w:rsidR="00981CB3" w:rsidRDefault="00981CB3" w:rsidP="00546E89">
      <w:pPr>
        <w:pStyle w:val="Text2-1"/>
        <w:numPr>
          <w:ilvl w:val="0"/>
          <w:numId w:val="0"/>
        </w:numPr>
        <w:ind w:left="907"/>
      </w:pPr>
    </w:p>
    <w:p w14:paraId="4F284DD0" w14:textId="77777777" w:rsidR="00981CB3" w:rsidRDefault="00981CB3" w:rsidP="00981CB3">
      <w:pPr>
        <w:pStyle w:val="Text2-1"/>
      </w:pPr>
      <w:r>
        <w:t>- doklad o autorizaci v rozsahu dle § 5 odst. 3 písm. e) technologická zařízení staveb zákona č. 360/1992 Sb., o výkonu povolání autorizovaných architektů a o výkonu povolání autorizovaných inženýrů a techniků činných ve výstavbě, ve znění pozdějších předpisů (dále jen „autorizační zákon“);</w:t>
      </w:r>
    </w:p>
    <w:p w14:paraId="583DF975" w14:textId="77777777" w:rsidR="00981CB3" w:rsidRDefault="00981CB3" w:rsidP="00546E89">
      <w:pPr>
        <w:pStyle w:val="Text2-1"/>
        <w:numPr>
          <w:ilvl w:val="0"/>
          <w:numId w:val="0"/>
        </w:numPr>
        <w:ind w:left="907"/>
      </w:pPr>
    </w:p>
    <w:p w14:paraId="5C97CFA0" w14:textId="7AE689AA" w:rsidR="00981CB3" w:rsidRDefault="00981CB3" w:rsidP="00981CB3">
      <w:pPr>
        <w:pStyle w:val="Text2-1"/>
      </w:pPr>
      <w:r>
        <w:t>- prokázat zkušenost s projektováním alespoň jedné zakázky na projekční práce pro stavby železničních drah, které obsahovaly projektování</w:t>
      </w:r>
      <w:r w:rsidR="00546E89">
        <w:t xml:space="preserve"> </w:t>
      </w:r>
      <w:r>
        <w:t>silnoproudých zařízení a osvětlení železničních prostranství, a to ve stupni DSP nebo DUSP nebo ve společném stupni DSP a PDPS u zakázek na stavební práce, jejichž součástí byly i související projektové činnosti na zpracování projektových dokumentací, s hodnotou projekčních prací nejméně 2 000 000,- Kč bez DPH a to v posledních 5 letech před zahájením zadávacího řízení; pokud byla referovaná činnost součástí rozsáhlejšího plnění pro objednatele služby (např. kromě zpracování projektové dokumentace měl dodavatel vykonávat i autorský dozor) postačí, pokud je dokončeno plnění v rozsahu referované činnosti;</w:t>
      </w:r>
    </w:p>
    <w:p w14:paraId="7C38DE88" w14:textId="11C0824E" w:rsidR="00981CB3" w:rsidRDefault="00981CB3" w:rsidP="00546E89">
      <w:pPr>
        <w:pStyle w:val="Text2-1"/>
        <w:numPr>
          <w:ilvl w:val="0"/>
          <w:numId w:val="0"/>
        </w:numPr>
        <w:ind w:left="907"/>
      </w:pPr>
    </w:p>
    <w:p w14:paraId="10FD4002" w14:textId="46957D0D" w:rsidR="00981CB3" w:rsidRDefault="00981CB3" w:rsidP="001F42C2">
      <w:pPr>
        <w:pStyle w:val="Text2-1"/>
        <w:numPr>
          <w:ilvl w:val="0"/>
          <w:numId w:val="0"/>
        </w:numPr>
        <w:ind w:left="907"/>
      </w:pPr>
    </w:p>
    <w:p w14:paraId="5E8D4C6A" w14:textId="1B41F313" w:rsidR="00981CB3" w:rsidRDefault="00981CB3" w:rsidP="00981CB3">
      <w:pPr>
        <w:pStyle w:val="Text2-1"/>
      </w:pPr>
    </w:p>
    <w:p w14:paraId="5A54F344" w14:textId="77777777" w:rsidR="009628A4" w:rsidRDefault="009628A4" w:rsidP="009628A4">
      <w:pPr>
        <w:pStyle w:val="Odrka1-1"/>
        <w:numPr>
          <w:ilvl w:val="0"/>
          <w:numId w:val="5"/>
        </w:numPr>
        <w:tabs>
          <w:tab w:val="clear" w:pos="1077"/>
          <w:tab w:val="num" w:pos="1191"/>
        </w:tabs>
        <w:ind w:left="1191"/>
      </w:pPr>
      <w:r w:rsidRPr="0041560E">
        <w:tab/>
        <w:t>osvědčení odborné způsobilosti alespoň 1 osoby dle zákona 360/1992 Sb., o výkonu povolání autorizovaných architektů a o výkonu autorizovaných inženýrů a techniků činných ve výstavbě ve znění pozdějších předpisů – autorizovaný inženýr, technik nebo stavitel pro obor „Technologická zařízení staveb“,</w:t>
      </w:r>
    </w:p>
    <w:p w14:paraId="53C1DD5E" w14:textId="6A9BD74A" w:rsidR="009628A4" w:rsidRDefault="009628A4" w:rsidP="00AD5831">
      <w:pPr>
        <w:pStyle w:val="Odrka1-1"/>
        <w:numPr>
          <w:ilvl w:val="0"/>
          <w:numId w:val="0"/>
        </w:numPr>
        <w:ind w:left="1077" w:hanging="340"/>
      </w:pPr>
      <w:r w:rsidRPr="0041560E">
        <w:lastRenderedPageBreak/>
        <w:tab/>
      </w:r>
    </w:p>
    <w:p w14:paraId="4F564487" w14:textId="31DBE389" w:rsidR="009628A4" w:rsidRPr="0041560E" w:rsidRDefault="009628A4" w:rsidP="009628A4">
      <w:pPr>
        <w:pStyle w:val="Odrka1-1"/>
        <w:numPr>
          <w:ilvl w:val="0"/>
          <w:numId w:val="5"/>
        </w:numPr>
        <w:tabs>
          <w:tab w:val="clear" w:pos="1077"/>
          <w:tab w:val="num" w:pos="1191"/>
        </w:tabs>
        <w:ind w:left="1191"/>
      </w:pPr>
      <w:r w:rsidRPr="0041560E">
        <w:t xml:space="preserve">osvědčení odborné způsobilosti </w:t>
      </w:r>
      <w:r w:rsidR="00205230">
        <w:t>je</w:t>
      </w:r>
      <w:bookmarkStart w:id="28" w:name="_GoBack"/>
      <w:bookmarkEnd w:id="28"/>
      <w:r w:rsidR="00205230">
        <w:t>dnoho</w:t>
      </w:r>
      <w:r w:rsidRPr="0041560E">
        <w:t xml:space="preserve"> pracovníka dle předpisu SŽ Zam1: E-0</w:t>
      </w:r>
      <w:r w:rsidR="00AD5831">
        <w:t>8</w:t>
      </w:r>
      <w:r w:rsidRPr="0041560E">
        <w:t>, kopie dokladu,</w:t>
      </w:r>
    </w:p>
    <w:p w14:paraId="0FD13FC5" w14:textId="0096CE4D" w:rsidR="009628A4" w:rsidRDefault="009628A4" w:rsidP="00AD5831">
      <w:pPr>
        <w:pStyle w:val="Odrka1-1"/>
        <w:numPr>
          <w:ilvl w:val="0"/>
          <w:numId w:val="0"/>
        </w:numPr>
        <w:ind w:left="1191"/>
      </w:pPr>
      <w:r w:rsidRPr="0041560E">
        <w:tab/>
      </w:r>
    </w:p>
    <w:p w14:paraId="69882F12" w14:textId="77777777" w:rsidR="009628A4" w:rsidRDefault="009628A4" w:rsidP="009628A4">
      <w:pPr>
        <w:pStyle w:val="Odrka1-1"/>
        <w:numPr>
          <w:ilvl w:val="0"/>
          <w:numId w:val="5"/>
        </w:numPr>
        <w:tabs>
          <w:tab w:val="clear" w:pos="1077"/>
          <w:tab w:val="num" w:pos="1191"/>
        </w:tabs>
        <w:ind w:left="1191"/>
      </w:pPr>
      <w:r>
        <w:t>doložení oprávnění ke vstupu do provozované ŽDC</w:t>
      </w:r>
    </w:p>
    <w:p w14:paraId="089B4914" w14:textId="77777777" w:rsidR="00DF7BAA" w:rsidRDefault="00DF7BAA" w:rsidP="00DF7BAA">
      <w:pPr>
        <w:pStyle w:val="Nadpis2-2"/>
      </w:pPr>
      <w:bookmarkStart w:id="29" w:name="_Toc6410439"/>
      <w:bookmarkStart w:id="30" w:name="_Toc21501954"/>
      <w:r>
        <w:t>Dokumentace zhotovitele pro stavbu</w:t>
      </w:r>
      <w:bookmarkEnd w:id="29"/>
      <w:bookmarkEnd w:id="30"/>
    </w:p>
    <w:p w14:paraId="36A003DE" w14:textId="77777777" w:rsidR="009628A4" w:rsidRPr="008D403B" w:rsidRDefault="00DF7BAA" w:rsidP="009628A4">
      <w:pPr>
        <w:pStyle w:val="Text2-1"/>
        <w:numPr>
          <w:ilvl w:val="2"/>
          <w:numId w:val="7"/>
        </w:numPr>
        <w:tabs>
          <w:tab w:val="num" w:pos="737"/>
        </w:tabs>
        <w:ind w:left="737"/>
      </w:pPr>
      <w:r>
        <w:t xml:space="preserve">V </w:t>
      </w:r>
      <w:bookmarkStart w:id="31" w:name="_Toc6410440"/>
      <w:bookmarkStart w:id="32" w:name="_Toc21501955"/>
      <w:r w:rsidR="009628A4" w:rsidRPr="008D403B">
        <w:t>Za dodání schválené související výkresové dokumentace pro ostatní stavební postupy zodpovídá Zhotovitel stavby v souladu se Směrnicí GŘ č. 11/2006, Příloha č. 4.</w:t>
      </w:r>
    </w:p>
    <w:p w14:paraId="33C12797" w14:textId="77777777" w:rsidR="009628A4" w:rsidRPr="008D403B" w:rsidRDefault="009628A4" w:rsidP="009628A4">
      <w:pPr>
        <w:pStyle w:val="Text2-1"/>
        <w:numPr>
          <w:ilvl w:val="2"/>
          <w:numId w:val="7"/>
        </w:numPr>
        <w:tabs>
          <w:tab w:val="num" w:pos="737"/>
        </w:tabs>
        <w:ind w:left="737"/>
      </w:pPr>
      <w:r w:rsidRPr="008D403B"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</w:p>
    <w:p w14:paraId="5A32B3A9" w14:textId="77777777" w:rsidR="00DF7BAA" w:rsidRDefault="00DF7BAA" w:rsidP="00DF7BAA">
      <w:pPr>
        <w:pStyle w:val="Nadpis2-2"/>
      </w:pPr>
      <w:bookmarkStart w:id="33" w:name="_Toc6410441"/>
      <w:bookmarkStart w:id="34" w:name="_Toc21501956"/>
      <w:bookmarkEnd w:id="31"/>
      <w:bookmarkEnd w:id="32"/>
      <w:r>
        <w:t>Zabezpečovací zařízení</w:t>
      </w:r>
      <w:bookmarkEnd w:id="33"/>
      <w:bookmarkEnd w:id="34"/>
    </w:p>
    <w:p w14:paraId="66235247" w14:textId="4E1AC016" w:rsidR="00DF7BAA" w:rsidRDefault="009628A4" w:rsidP="007F4890">
      <w:pPr>
        <w:pStyle w:val="Text2-1"/>
      </w:pPr>
      <w:r>
        <w:t>Neobsazeno</w:t>
      </w:r>
    </w:p>
    <w:p w14:paraId="74185F9B" w14:textId="77777777" w:rsidR="00DF7BAA" w:rsidRDefault="00DF7BAA" w:rsidP="00DF7BAA">
      <w:pPr>
        <w:pStyle w:val="Nadpis2-2"/>
      </w:pPr>
      <w:bookmarkStart w:id="35" w:name="_Toc6410442"/>
      <w:bookmarkStart w:id="36" w:name="_Toc21501957"/>
      <w:r>
        <w:t>Sdělovací zařízení</w:t>
      </w:r>
      <w:bookmarkEnd w:id="35"/>
      <w:bookmarkEnd w:id="36"/>
    </w:p>
    <w:p w14:paraId="299DC32F" w14:textId="77777777" w:rsidR="009628A4" w:rsidRDefault="009628A4" w:rsidP="009628A4">
      <w:pPr>
        <w:pStyle w:val="Text2-1"/>
      </w:pPr>
      <w:bookmarkStart w:id="37" w:name="_Toc6410443"/>
      <w:bookmarkStart w:id="38" w:name="_Toc21501958"/>
      <w:r>
        <w:t>Neobsazeno</w:t>
      </w:r>
    </w:p>
    <w:p w14:paraId="5DA9C23B" w14:textId="77777777" w:rsidR="00DF7BAA" w:rsidRDefault="00DF7BAA" w:rsidP="00DF7BAA">
      <w:pPr>
        <w:pStyle w:val="Nadpis2-2"/>
      </w:pPr>
      <w:r>
        <w:t>Silnoproudá technologie včetně DŘT, trakční a energetická zařízení</w:t>
      </w:r>
      <w:bookmarkEnd w:id="37"/>
      <w:bookmarkEnd w:id="38"/>
    </w:p>
    <w:p w14:paraId="77F0FAB5" w14:textId="5350BC21" w:rsidR="009628A4" w:rsidRDefault="00546E89" w:rsidP="009628A4">
      <w:pPr>
        <w:pStyle w:val="Text2-1"/>
      </w:pPr>
      <w:bookmarkStart w:id="39" w:name="_Toc6410444"/>
      <w:bookmarkStart w:id="40" w:name="_Toc21501959"/>
      <w:r>
        <w:t>Dle požadavku objednatele</w:t>
      </w:r>
    </w:p>
    <w:p w14:paraId="47D301D1" w14:textId="77777777" w:rsidR="00DF7BAA" w:rsidRDefault="00DF7BAA" w:rsidP="00DF7BAA">
      <w:pPr>
        <w:pStyle w:val="Nadpis2-2"/>
      </w:pPr>
      <w:r>
        <w:t>Ostatní technologická zařízení</w:t>
      </w:r>
      <w:bookmarkEnd w:id="39"/>
      <w:bookmarkEnd w:id="40"/>
    </w:p>
    <w:p w14:paraId="5A76D861" w14:textId="77777777" w:rsidR="009628A4" w:rsidRDefault="009628A4" w:rsidP="009628A4">
      <w:pPr>
        <w:pStyle w:val="Text2-1"/>
      </w:pPr>
      <w:bookmarkStart w:id="41" w:name="_Toc6410445"/>
      <w:bookmarkStart w:id="42" w:name="_Toc21501960"/>
      <w:r>
        <w:t>Neobsazeno</w:t>
      </w:r>
    </w:p>
    <w:p w14:paraId="72C1873A" w14:textId="77777777" w:rsidR="00DF7BAA" w:rsidRDefault="00DF7BAA" w:rsidP="00DF7BAA">
      <w:pPr>
        <w:pStyle w:val="Nadpis2-2"/>
      </w:pPr>
      <w:r>
        <w:t>Železniční svršek</w:t>
      </w:r>
      <w:bookmarkEnd w:id="41"/>
      <w:r>
        <w:t xml:space="preserve"> </w:t>
      </w:r>
      <w:bookmarkEnd w:id="42"/>
    </w:p>
    <w:p w14:paraId="01113A85" w14:textId="77777777" w:rsidR="009628A4" w:rsidRDefault="009628A4" w:rsidP="009628A4">
      <w:pPr>
        <w:pStyle w:val="Text2-1"/>
      </w:pPr>
      <w:r>
        <w:t>Neobsazeno</w:t>
      </w:r>
    </w:p>
    <w:p w14:paraId="10DC3080" w14:textId="77777777" w:rsidR="00DF7BAA" w:rsidRPr="001E4F0A" w:rsidRDefault="00DF7BAA" w:rsidP="007F4890">
      <w:pPr>
        <w:pStyle w:val="Text2-1"/>
        <w:rPr>
          <w:rStyle w:val="Tun"/>
        </w:rPr>
      </w:pPr>
      <w:r w:rsidRPr="001E4F0A">
        <w:rPr>
          <w:rStyle w:val="Tun"/>
        </w:rPr>
        <w:t>Centrální nákup materiálu</w:t>
      </w:r>
    </w:p>
    <w:p w14:paraId="5E276ADA" w14:textId="77777777" w:rsidR="00DF7BAA" w:rsidRDefault="00DF7BAA" w:rsidP="00DF7BAA">
      <w:pPr>
        <w:pStyle w:val="Nadpis2-2"/>
      </w:pPr>
      <w:bookmarkStart w:id="43" w:name="_Toc6410446"/>
      <w:bookmarkStart w:id="44" w:name="_Toc21501961"/>
      <w:r>
        <w:t>Železniční spodek</w:t>
      </w:r>
      <w:bookmarkEnd w:id="43"/>
      <w:bookmarkEnd w:id="44"/>
    </w:p>
    <w:p w14:paraId="0232AA9C" w14:textId="77777777" w:rsidR="009628A4" w:rsidRDefault="009628A4" w:rsidP="009628A4">
      <w:pPr>
        <w:pStyle w:val="Text2-1"/>
      </w:pPr>
      <w:bookmarkStart w:id="45" w:name="_Toc6410447"/>
      <w:bookmarkStart w:id="46" w:name="_Toc21501962"/>
      <w:r>
        <w:t>Neobsazeno</w:t>
      </w:r>
    </w:p>
    <w:p w14:paraId="58B4D400" w14:textId="77777777" w:rsidR="00DF7BAA" w:rsidRDefault="00DF7BAA" w:rsidP="00DF7BAA">
      <w:pPr>
        <w:pStyle w:val="Nadpis2-2"/>
      </w:pPr>
      <w:r>
        <w:t>Nástupiště</w:t>
      </w:r>
      <w:bookmarkEnd w:id="45"/>
      <w:bookmarkEnd w:id="46"/>
    </w:p>
    <w:p w14:paraId="673151EC" w14:textId="77777777" w:rsidR="009628A4" w:rsidRDefault="009628A4" w:rsidP="009628A4">
      <w:pPr>
        <w:pStyle w:val="Text2-1"/>
      </w:pPr>
      <w:bookmarkStart w:id="47" w:name="_Toc6410448"/>
      <w:bookmarkStart w:id="48" w:name="_Toc21501963"/>
      <w:r>
        <w:t>Neobsazeno</w:t>
      </w:r>
    </w:p>
    <w:p w14:paraId="2BB719D2" w14:textId="77777777" w:rsidR="00DF7BAA" w:rsidRDefault="00DF7BAA" w:rsidP="00DF7BAA">
      <w:pPr>
        <w:pStyle w:val="Nadpis2-2"/>
      </w:pPr>
      <w:r>
        <w:t>Železniční přejezdy</w:t>
      </w:r>
      <w:bookmarkEnd w:id="47"/>
      <w:bookmarkEnd w:id="48"/>
    </w:p>
    <w:p w14:paraId="611D9EA6" w14:textId="77777777" w:rsidR="009628A4" w:rsidRDefault="009628A4" w:rsidP="009628A4">
      <w:pPr>
        <w:pStyle w:val="Text2-1"/>
      </w:pPr>
      <w:bookmarkStart w:id="49" w:name="_Toc6410449"/>
      <w:bookmarkStart w:id="50" w:name="_Toc21501964"/>
      <w:r>
        <w:t>Neobsazeno</w:t>
      </w:r>
    </w:p>
    <w:p w14:paraId="3147FFEF" w14:textId="77777777" w:rsidR="00DF7BAA" w:rsidRDefault="00DF7BAA" w:rsidP="00DF7BAA">
      <w:pPr>
        <w:pStyle w:val="Nadpis2-2"/>
      </w:pPr>
      <w:r>
        <w:t>Mosty, propustky a zdi</w:t>
      </w:r>
      <w:bookmarkEnd w:id="49"/>
      <w:bookmarkEnd w:id="50"/>
    </w:p>
    <w:p w14:paraId="5A5B31A7" w14:textId="77777777" w:rsidR="009628A4" w:rsidRDefault="009628A4" w:rsidP="009628A4">
      <w:pPr>
        <w:pStyle w:val="Text2-1"/>
      </w:pPr>
      <w:bookmarkStart w:id="51" w:name="_Toc6410450"/>
      <w:bookmarkStart w:id="52" w:name="_Toc21501965"/>
      <w:r>
        <w:t>Neobsazeno</w:t>
      </w:r>
    </w:p>
    <w:p w14:paraId="4E5EA9FD" w14:textId="77777777" w:rsidR="00DF7BAA" w:rsidRDefault="00DF7BAA" w:rsidP="00DF7BAA">
      <w:pPr>
        <w:pStyle w:val="Nadpis2-2"/>
      </w:pPr>
      <w:r>
        <w:t>Ostatní inženýrské objekty</w:t>
      </w:r>
      <w:bookmarkEnd w:id="51"/>
      <w:bookmarkEnd w:id="52"/>
    </w:p>
    <w:p w14:paraId="1C539BA8" w14:textId="77777777" w:rsidR="009628A4" w:rsidRDefault="009628A4" w:rsidP="009628A4">
      <w:pPr>
        <w:pStyle w:val="Text2-1"/>
      </w:pPr>
      <w:bookmarkStart w:id="53" w:name="_Toc6410451"/>
      <w:bookmarkStart w:id="54" w:name="_Toc21501966"/>
      <w:r>
        <w:t>Neobsazeno</w:t>
      </w:r>
    </w:p>
    <w:p w14:paraId="0B221734" w14:textId="77777777" w:rsidR="00DF7BAA" w:rsidRDefault="00DF7BAA" w:rsidP="00DF7BAA">
      <w:pPr>
        <w:pStyle w:val="Nadpis2-2"/>
      </w:pPr>
      <w:r>
        <w:t>Železniční tunely</w:t>
      </w:r>
      <w:bookmarkEnd w:id="53"/>
      <w:bookmarkEnd w:id="54"/>
    </w:p>
    <w:p w14:paraId="036E433B" w14:textId="77777777" w:rsidR="009628A4" w:rsidRDefault="009628A4" w:rsidP="009628A4">
      <w:pPr>
        <w:pStyle w:val="Text2-1"/>
      </w:pPr>
      <w:bookmarkStart w:id="55" w:name="_Toc6410452"/>
      <w:bookmarkStart w:id="56" w:name="_Toc21501967"/>
      <w:r>
        <w:t>Neobsazeno</w:t>
      </w:r>
    </w:p>
    <w:p w14:paraId="1155766A" w14:textId="77777777" w:rsidR="00DF7BAA" w:rsidRDefault="00DF7BAA" w:rsidP="00DF7BAA">
      <w:pPr>
        <w:pStyle w:val="Nadpis2-2"/>
      </w:pPr>
      <w:r>
        <w:t>Pozemní komunikace</w:t>
      </w:r>
      <w:bookmarkEnd w:id="55"/>
      <w:bookmarkEnd w:id="56"/>
    </w:p>
    <w:p w14:paraId="76C9761D" w14:textId="77777777" w:rsidR="009628A4" w:rsidRDefault="009628A4" w:rsidP="009628A4">
      <w:pPr>
        <w:pStyle w:val="Text2-1"/>
      </w:pPr>
      <w:bookmarkStart w:id="57" w:name="_Toc6410453"/>
      <w:bookmarkStart w:id="58" w:name="_Toc21501968"/>
      <w:r>
        <w:t>Neobsazeno</w:t>
      </w:r>
    </w:p>
    <w:p w14:paraId="7165F6A8" w14:textId="77777777" w:rsidR="00DF7BAA" w:rsidRDefault="00DF7BAA" w:rsidP="00DF7BAA">
      <w:pPr>
        <w:pStyle w:val="Nadpis2-2"/>
      </w:pPr>
      <w:proofErr w:type="spellStart"/>
      <w:r>
        <w:lastRenderedPageBreak/>
        <w:t>Kabelovody</w:t>
      </w:r>
      <w:proofErr w:type="spellEnd"/>
      <w:r>
        <w:t>, kolektory</w:t>
      </w:r>
      <w:bookmarkEnd w:id="57"/>
      <w:bookmarkEnd w:id="58"/>
    </w:p>
    <w:p w14:paraId="48FB5676" w14:textId="77777777" w:rsidR="009628A4" w:rsidRDefault="009628A4" w:rsidP="009628A4">
      <w:pPr>
        <w:pStyle w:val="Text2-1"/>
      </w:pPr>
      <w:bookmarkStart w:id="59" w:name="_Toc6410454"/>
      <w:bookmarkStart w:id="60" w:name="_Toc21501969"/>
      <w:r>
        <w:t>Neobsazeno</w:t>
      </w:r>
    </w:p>
    <w:p w14:paraId="78ADD83D" w14:textId="77777777" w:rsidR="00DF7BAA" w:rsidRDefault="00DF7BAA" w:rsidP="00DF7BAA">
      <w:pPr>
        <w:pStyle w:val="Nadpis2-2"/>
      </w:pPr>
      <w:r>
        <w:t>Protihlukové objekty</w:t>
      </w:r>
      <w:bookmarkEnd w:id="59"/>
      <w:bookmarkEnd w:id="60"/>
    </w:p>
    <w:p w14:paraId="23FC1290" w14:textId="77777777" w:rsidR="009628A4" w:rsidRDefault="009628A4" w:rsidP="009628A4">
      <w:pPr>
        <w:pStyle w:val="Text2-1"/>
      </w:pPr>
      <w:bookmarkStart w:id="61" w:name="_Toc6410455"/>
      <w:bookmarkStart w:id="62" w:name="_Toc21501970"/>
      <w:r>
        <w:t>Neobsazeno</w:t>
      </w:r>
    </w:p>
    <w:p w14:paraId="7AA88239" w14:textId="77777777" w:rsidR="00DF7BAA" w:rsidRDefault="00DF7BAA" w:rsidP="00DF7BAA">
      <w:pPr>
        <w:pStyle w:val="Nadpis2-2"/>
      </w:pPr>
      <w:r>
        <w:t>Pozemní stavební objekty</w:t>
      </w:r>
      <w:bookmarkEnd w:id="61"/>
      <w:bookmarkEnd w:id="62"/>
    </w:p>
    <w:p w14:paraId="1116AA2D" w14:textId="77777777" w:rsidR="009628A4" w:rsidRDefault="009628A4" w:rsidP="009628A4">
      <w:pPr>
        <w:pStyle w:val="Text2-1"/>
      </w:pPr>
      <w:bookmarkStart w:id="63" w:name="_Toc6410456"/>
      <w:bookmarkStart w:id="64" w:name="_Toc21501971"/>
      <w:r>
        <w:t>Neobsazeno</w:t>
      </w:r>
    </w:p>
    <w:p w14:paraId="55153B03" w14:textId="77777777" w:rsidR="00DF7BAA" w:rsidRDefault="00DF7BAA" w:rsidP="00DF7BAA">
      <w:pPr>
        <w:pStyle w:val="Nadpis2-2"/>
      </w:pPr>
      <w:r>
        <w:t>Trakční a energická zařízení</w:t>
      </w:r>
      <w:bookmarkEnd w:id="63"/>
      <w:bookmarkEnd w:id="64"/>
    </w:p>
    <w:p w14:paraId="11C11EE4" w14:textId="7D10A594" w:rsidR="009628A4" w:rsidRDefault="00546E89" w:rsidP="009628A4">
      <w:pPr>
        <w:pStyle w:val="Text2-1"/>
      </w:pPr>
      <w:bookmarkStart w:id="65" w:name="_Toc6410457"/>
      <w:bookmarkStart w:id="66" w:name="_Toc21501972"/>
      <w:r>
        <w:t>Dle požadavku objednatele</w:t>
      </w:r>
    </w:p>
    <w:p w14:paraId="6B83DD38" w14:textId="77777777" w:rsidR="00DF7BAA" w:rsidRDefault="00DF7BAA" w:rsidP="00DF7BAA">
      <w:pPr>
        <w:pStyle w:val="Nadpis2-2"/>
      </w:pPr>
      <w:r>
        <w:t>Vyzískaný materiál</w:t>
      </w:r>
      <w:bookmarkEnd w:id="65"/>
      <w:bookmarkEnd w:id="66"/>
    </w:p>
    <w:p w14:paraId="1C4355A2" w14:textId="77777777" w:rsidR="009628A4" w:rsidRDefault="009628A4" w:rsidP="009628A4">
      <w:pPr>
        <w:pStyle w:val="Text2-1"/>
      </w:pPr>
      <w:bookmarkStart w:id="67" w:name="_Toc6410458"/>
      <w:bookmarkStart w:id="68" w:name="_Toc21501973"/>
      <w:r>
        <w:t>Neobsazeno</w:t>
      </w:r>
    </w:p>
    <w:p w14:paraId="45990F3B" w14:textId="77777777" w:rsidR="00DF7BAA" w:rsidRDefault="00DF7BAA" w:rsidP="00DF7BAA">
      <w:pPr>
        <w:pStyle w:val="Nadpis2-2"/>
      </w:pPr>
      <w:r>
        <w:t>Životní prostředí a nakládání s odpady</w:t>
      </w:r>
      <w:bookmarkEnd w:id="67"/>
      <w:bookmarkEnd w:id="68"/>
    </w:p>
    <w:p w14:paraId="1BEA2600" w14:textId="77777777" w:rsidR="00BF2861" w:rsidRPr="007F4890" w:rsidRDefault="00BF2861" w:rsidP="007F4890">
      <w:pPr>
        <w:pStyle w:val="Text2-1"/>
        <w:rPr>
          <w:rStyle w:val="Tun"/>
        </w:rPr>
      </w:pPr>
      <w:r w:rsidRPr="007F4890">
        <w:rPr>
          <w:rStyle w:val="Tun"/>
        </w:rPr>
        <w:t xml:space="preserve">Nakládání s odpady </w:t>
      </w:r>
    </w:p>
    <w:p w14:paraId="11C136E0" w14:textId="77777777" w:rsidR="009628A4" w:rsidRDefault="009628A4" w:rsidP="009628A4">
      <w:pPr>
        <w:pStyle w:val="Text2-1"/>
      </w:pPr>
      <w:r>
        <w:t>Neobsazeno</w:t>
      </w:r>
    </w:p>
    <w:p w14:paraId="3D277C5D" w14:textId="77777777" w:rsidR="00DF7BAA" w:rsidRDefault="00DF7BAA" w:rsidP="00DF7BAA">
      <w:pPr>
        <w:pStyle w:val="Nadpis2-1"/>
      </w:pPr>
      <w:bookmarkStart w:id="69" w:name="_Toc6410460"/>
      <w:bookmarkStart w:id="70" w:name="_Toc21501974"/>
      <w:r w:rsidRPr="00EC2E51">
        <w:t>ORGANIZACE</w:t>
      </w:r>
      <w:r>
        <w:t xml:space="preserve"> VÝSTAVBY, VÝLUKY</w:t>
      </w:r>
      <w:bookmarkEnd w:id="69"/>
      <w:bookmarkEnd w:id="70"/>
    </w:p>
    <w:p w14:paraId="1835B987" w14:textId="77777777" w:rsidR="009628A4" w:rsidRDefault="009628A4" w:rsidP="009628A4">
      <w:pPr>
        <w:pStyle w:val="Text2-1"/>
      </w:pPr>
      <w:r>
        <w:t>Neobsazeno</w:t>
      </w:r>
    </w:p>
    <w:p w14:paraId="2CC2691C" w14:textId="77777777" w:rsidR="00DF7BAA" w:rsidRDefault="00DF7BAA" w:rsidP="00DF7BAA">
      <w:pPr>
        <w:pStyle w:val="Nadpis2-1"/>
      </w:pPr>
      <w:bookmarkStart w:id="71" w:name="_Toc6410461"/>
      <w:bookmarkStart w:id="72" w:name="_Toc21501975"/>
      <w:r w:rsidRPr="00EC2E51">
        <w:t>SOUVISEJÍCÍ</w:t>
      </w:r>
      <w:r>
        <w:t xml:space="preserve"> DOKUMENTY A PŘEDPISY</w:t>
      </w:r>
      <w:bookmarkEnd w:id="71"/>
      <w:bookmarkEnd w:id="72"/>
    </w:p>
    <w:p w14:paraId="394724CC" w14:textId="77777777" w:rsidR="00DF7BAA" w:rsidRDefault="00DF7BAA" w:rsidP="007F4890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795B86D7" w14:textId="77777777" w:rsidR="007B5FD9" w:rsidRDefault="007B5FD9" w:rsidP="007F4890">
      <w:pPr>
        <w:pStyle w:val="Text2-1"/>
      </w:pPr>
      <w:r w:rsidRPr="007D016E">
        <w:t>Objednatel umožňuje Zhotoviteli přístup ke</w:t>
      </w:r>
      <w:r>
        <w:t xml:space="preserve"> svým dokumentům a vnitřním předpisům na svých webových stránkách: </w:t>
      </w:r>
    </w:p>
    <w:p w14:paraId="4750D30D" w14:textId="77777777" w:rsidR="007B5FD9" w:rsidRDefault="00545031" w:rsidP="007F4890">
      <w:pPr>
        <w:pStyle w:val="Textbezslovn"/>
        <w:ind w:left="1588"/>
      </w:pPr>
      <w:hyperlink r:id="rId10" w:history="1">
        <w:r w:rsidR="007B5FD9" w:rsidRPr="003846BE">
          <w:rPr>
            <w:rStyle w:val="Tun"/>
          </w:rPr>
          <w:t>www.</w:t>
        </w:r>
        <w:r w:rsidR="007B5FD9">
          <w:rPr>
            <w:rStyle w:val="Tun"/>
          </w:rPr>
          <w:t>spravazeleznic</w:t>
        </w:r>
        <w:r w:rsidR="007B5FD9" w:rsidRPr="003846BE">
          <w:rPr>
            <w:rStyle w:val="Tun"/>
          </w:rPr>
          <w:t>.cz</w:t>
        </w:r>
      </w:hyperlink>
      <w:r w:rsidR="007B5FD9" w:rsidRPr="003846BE">
        <w:rPr>
          <w:rStyle w:val="Tun"/>
        </w:rPr>
        <w:t xml:space="preserve"> v sekci „O nás / Vnitřní předpisy / odkaz Dokumenty a</w:t>
      </w:r>
      <w:r w:rsidR="007B5FD9">
        <w:rPr>
          <w:rStyle w:val="Tun"/>
        </w:rPr>
        <w:t> </w:t>
      </w:r>
      <w:r w:rsidR="007B5FD9" w:rsidRPr="003846BE">
        <w:rPr>
          <w:rStyle w:val="Tun"/>
        </w:rPr>
        <w:t>předpisy</w:t>
      </w:r>
      <w:r w:rsidR="007B5FD9">
        <w:rPr>
          <w:rStyle w:val="Tun"/>
        </w:rPr>
        <w:t>“</w:t>
      </w:r>
      <w:r w:rsidR="007B5FD9">
        <w:t xml:space="preserve"> (</w:t>
      </w:r>
      <w:r w:rsidR="007B5FD9" w:rsidRPr="003846BE">
        <w:t>https://www.</w:t>
      </w:r>
      <w:r w:rsidR="007B5FD9">
        <w:t>spravazeleznic</w:t>
      </w:r>
      <w:r w:rsidR="007B5FD9" w:rsidRPr="003846BE">
        <w:t>.cz/o-nas/vnitrni-predpisy-spravy-zeleznic/dokumenty-a-predpisy</w:t>
      </w:r>
      <w:r w:rsidR="007B5FD9">
        <w:t>)</w:t>
      </w:r>
    </w:p>
    <w:p w14:paraId="02BD77C3" w14:textId="77777777" w:rsidR="007B5FD9" w:rsidRPr="007D016E" w:rsidRDefault="007B5FD9" w:rsidP="007F4890">
      <w:pPr>
        <w:pStyle w:val="Textbezslovn"/>
        <w:ind w:left="1588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39A825BE" w14:textId="77777777" w:rsidR="007B5FD9" w:rsidRPr="00E85446" w:rsidRDefault="007B5FD9" w:rsidP="007F4890">
      <w:pPr>
        <w:pStyle w:val="Textbezslovn"/>
        <w:keepNext/>
        <w:spacing w:after="0"/>
        <w:ind w:left="1588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02BCC2D2" w14:textId="77777777" w:rsidR="007B5FD9" w:rsidRPr="00E85446" w:rsidRDefault="007B5FD9" w:rsidP="007F4890">
      <w:pPr>
        <w:pStyle w:val="Textbezslovn"/>
        <w:keepNext/>
        <w:spacing w:after="0"/>
        <w:ind w:left="1588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1E8A9FC6" w14:textId="77777777" w:rsidR="007B5FD9" w:rsidRPr="007D7A4E" w:rsidRDefault="007B5FD9" w:rsidP="007F4890">
      <w:pPr>
        <w:pStyle w:val="Textbezslovn"/>
        <w:keepNext/>
        <w:spacing w:after="0"/>
        <w:ind w:left="1588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14:paraId="47202C39" w14:textId="77777777" w:rsidR="007B5FD9" w:rsidRPr="007D016E" w:rsidRDefault="007B5FD9" w:rsidP="007F4890">
      <w:pPr>
        <w:pStyle w:val="Textbezslovn"/>
        <w:keepNext/>
        <w:spacing w:after="0"/>
        <w:ind w:left="1588"/>
      </w:pPr>
      <w:r>
        <w:t>Jeremenkova 103/23</w:t>
      </w:r>
    </w:p>
    <w:p w14:paraId="384D6784" w14:textId="77777777" w:rsidR="007B5FD9" w:rsidRDefault="007B5FD9" w:rsidP="007F4890">
      <w:pPr>
        <w:pStyle w:val="Textbezslovn"/>
        <w:ind w:left="1588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C890082" w14:textId="77777777" w:rsidR="007B5FD9" w:rsidRDefault="007B5FD9" w:rsidP="007F4890">
      <w:pPr>
        <w:pStyle w:val="Textbezslovn"/>
        <w:ind w:left="1588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7EE52EA0" w14:textId="77777777" w:rsidR="007B5FD9" w:rsidRDefault="007B5FD9" w:rsidP="007F4890">
      <w:pPr>
        <w:pStyle w:val="Textbezslovn"/>
        <w:spacing w:after="0"/>
        <w:ind w:left="1588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393AA131" w14:textId="77777777" w:rsidR="007B5FD9" w:rsidRDefault="007B5FD9" w:rsidP="007F4890">
      <w:pPr>
        <w:pStyle w:val="Textbezslovn"/>
        <w:ind w:left="1588"/>
      </w:pPr>
      <w:r>
        <w:t xml:space="preserve">Ceníky: </w:t>
      </w:r>
      <w:r w:rsidRPr="00E64846">
        <w:t>https://typdok.tudc.cz/</w:t>
      </w:r>
    </w:p>
    <w:p w14:paraId="1946B264" w14:textId="77777777" w:rsidR="007B5FD9" w:rsidRDefault="007B5FD9" w:rsidP="007F4890">
      <w:pPr>
        <w:pStyle w:val="Text2-1"/>
        <w:numPr>
          <w:ilvl w:val="0"/>
          <w:numId w:val="0"/>
        </w:numPr>
        <w:ind w:left="1588"/>
      </w:pPr>
    </w:p>
    <w:p w14:paraId="483654C9" w14:textId="77777777" w:rsidR="00DF7BAA" w:rsidRDefault="00DF7BAA" w:rsidP="00DF7BAA">
      <w:pPr>
        <w:pStyle w:val="Nadpis2-1"/>
      </w:pPr>
      <w:bookmarkStart w:id="73" w:name="_Toc6410462"/>
      <w:bookmarkStart w:id="74" w:name="_Toc21501976"/>
      <w:r>
        <w:t>PŘÍLOHY</w:t>
      </w:r>
      <w:bookmarkEnd w:id="73"/>
      <w:bookmarkEnd w:id="74"/>
    </w:p>
    <w:p w14:paraId="06E0DDFD" w14:textId="1E348F81" w:rsidR="00DF7BAA" w:rsidRPr="00DF7BAA" w:rsidRDefault="008246BE" w:rsidP="00264D52">
      <w:pPr>
        <w:pStyle w:val="Textbezodsazen"/>
      </w:pPr>
      <w:r>
        <w:t>neobsazeno</w:t>
      </w:r>
    </w:p>
    <w:p w14:paraId="7BB0E303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4C01DB75" w14:textId="77777777" w:rsidR="002B6B58" w:rsidRDefault="002B6B58" w:rsidP="00264D52">
      <w:pPr>
        <w:pStyle w:val="Textbezodsazen"/>
      </w:pPr>
    </w:p>
    <w:sectPr w:rsidR="002B6B58" w:rsidSect="00AF2E9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D4FC59" w14:textId="77777777" w:rsidR="00545031" w:rsidRDefault="00545031" w:rsidP="00962258">
      <w:pPr>
        <w:spacing w:after="0" w:line="240" w:lineRule="auto"/>
      </w:pPr>
      <w:r>
        <w:separator/>
      </w:r>
    </w:p>
  </w:endnote>
  <w:endnote w:type="continuationSeparator" w:id="0">
    <w:p w14:paraId="4AD47777" w14:textId="77777777" w:rsidR="00545031" w:rsidRDefault="0054503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5B7C87" w:rsidRPr="006A10C4" w14:paraId="4114D360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55E6ED53" w14:textId="3793C303" w:rsidR="005B7C87" w:rsidRPr="006A10C4" w:rsidRDefault="005B7C87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205230">
            <w:rPr>
              <w:rStyle w:val="slostrnky"/>
              <w:noProof/>
            </w:rPr>
            <w:t>10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205230">
            <w:rPr>
              <w:rStyle w:val="slostrnky"/>
              <w:noProof/>
            </w:rPr>
            <w:t>12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172B6C23" w14:textId="1F0EB5B9" w:rsidR="005B7C87" w:rsidRPr="006A10C4" w:rsidRDefault="00545031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205230" w:rsidRPr="00205230">
            <w:rPr>
              <w:b/>
              <w:bCs/>
              <w:noProof/>
            </w:rPr>
            <w:t>Obvod</w:t>
          </w:r>
          <w:r w:rsidR="00205230">
            <w:rPr>
              <w:noProof/>
            </w:rPr>
            <w:t xml:space="preserve"> OŘ - JMK - Opravy a údržba elektroinstalace objektů - projekty</w:t>
          </w:r>
          <w:r>
            <w:rPr>
              <w:noProof/>
            </w:rPr>
            <w:fldChar w:fldCharType="end"/>
          </w:r>
        </w:p>
        <w:p w14:paraId="77E02C2A" w14:textId="77777777" w:rsidR="005B7C87" w:rsidRPr="006A10C4" w:rsidRDefault="005B7C87" w:rsidP="003462EB">
          <w:pPr>
            <w:pStyle w:val="Zpatvlevo"/>
          </w:pPr>
          <w:r w:rsidRPr="006A10C4">
            <w:t xml:space="preserve">Příloha č. 2 c) </w:t>
          </w:r>
        </w:p>
        <w:p w14:paraId="6E0B42F6" w14:textId="77777777" w:rsidR="005B7C87" w:rsidRPr="006A10C4" w:rsidRDefault="005B7C87" w:rsidP="00DF7BAA">
          <w:pPr>
            <w:pStyle w:val="Zpatvlevo"/>
          </w:pPr>
          <w:r w:rsidRPr="006A10C4">
            <w:t xml:space="preserve">Zvláštní technické podmínky - Zhotovení stavby </w:t>
          </w:r>
        </w:p>
      </w:tc>
    </w:tr>
  </w:tbl>
  <w:p w14:paraId="56FDD507" w14:textId="77777777" w:rsidR="005B7C87" w:rsidRPr="00614E71" w:rsidRDefault="005B7C87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5B7C87" w:rsidRPr="006A10C4" w14:paraId="59D2D6D8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1EEA5FFD" w14:textId="5724D6C8" w:rsidR="005B7C87" w:rsidRPr="006A10C4" w:rsidRDefault="00545031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205230" w:rsidRPr="00205230">
            <w:rPr>
              <w:b/>
              <w:bCs/>
              <w:noProof/>
            </w:rPr>
            <w:t>Obvod</w:t>
          </w:r>
          <w:r w:rsidR="00205230">
            <w:rPr>
              <w:noProof/>
            </w:rPr>
            <w:t xml:space="preserve"> OŘ - JMK - Opravy a údržba elektroinstalace objektů - projekty</w:t>
          </w:r>
          <w:r>
            <w:rPr>
              <w:noProof/>
            </w:rPr>
            <w:fldChar w:fldCharType="end"/>
          </w:r>
        </w:p>
        <w:p w14:paraId="20713E6F" w14:textId="77777777" w:rsidR="005B7C87" w:rsidRPr="006A10C4" w:rsidRDefault="005B7C87" w:rsidP="003B111D">
          <w:pPr>
            <w:pStyle w:val="Zpatvpravo"/>
          </w:pPr>
          <w:r w:rsidRPr="006A10C4">
            <w:t>Příloha č. 2 c)</w:t>
          </w:r>
        </w:p>
        <w:p w14:paraId="3374F3C7" w14:textId="77777777" w:rsidR="005B7C87" w:rsidRPr="006A10C4" w:rsidRDefault="005B7C87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6A10C4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28B8EFC3" w14:textId="3A0390B3" w:rsidR="005B7C87" w:rsidRPr="006A10C4" w:rsidRDefault="005B7C87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205230">
            <w:rPr>
              <w:rStyle w:val="slostrnky"/>
              <w:noProof/>
            </w:rPr>
            <w:t>11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205230">
            <w:rPr>
              <w:rStyle w:val="slostrnky"/>
              <w:noProof/>
            </w:rPr>
            <w:t>12</w:t>
          </w:r>
          <w:r w:rsidRPr="006A10C4">
            <w:rPr>
              <w:rStyle w:val="slostrnky"/>
            </w:rPr>
            <w:fldChar w:fldCharType="end"/>
          </w:r>
        </w:p>
      </w:tc>
    </w:tr>
  </w:tbl>
  <w:p w14:paraId="0888EF7E" w14:textId="77777777" w:rsidR="005B7C87" w:rsidRPr="00B8518B" w:rsidRDefault="005B7C87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C6934" w14:textId="77777777" w:rsidR="005B7C87" w:rsidRPr="00B8518B" w:rsidRDefault="005B7C87" w:rsidP="00460660">
    <w:pPr>
      <w:pStyle w:val="Zpat"/>
      <w:rPr>
        <w:sz w:val="2"/>
        <w:szCs w:val="2"/>
      </w:rPr>
    </w:pPr>
  </w:p>
  <w:p w14:paraId="751CD09F" w14:textId="77777777" w:rsidR="005B7C87" w:rsidRDefault="005B7C87" w:rsidP="00054FC6">
    <w:pPr>
      <w:pStyle w:val="Zpat"/>
      <w:rPr>
        <w:rFonts w:cs="Calibri"/>
        <w:szCs w:val="12"/>
      </w:rPr>
    </w:pPr>
  </w:p>
  <w:p w14:paraId="6D7C50B4" w14:textId="77777777" w:rsidR="005B7C87" w:rsidRPr="005D19D8" w:rsidRDefault="005B7C87" w:rsidP="00054FC6">
    <w:pPr>
      <w:pStyle w:val="Zpat"/>
    </w:pPr>
    <w:r w:rsidRPr="00F37C6B">
      <w:rPr>
        <w:rFonts w:cs="Calibri"/>
        <w:szCs w:val="12"/>
      </w:rPr>
      <w:t>.</w:t>
    </w:r>
  </w:p>
  <w:p w14:paraId="55310DCA" w14:textId="77777777" w:rsidR="005B7C87" w:rsidRPr="00460660" w:rsidRDefault="005B7C8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B5E64" w14:textId="77777777" w:rsidR="00545031" w:rsidRDefault="00545031" w:rsidP="00962258">
      <w:pPr>
        <w:spacing w:after="0" w:line="240" w:lineRule="auto"/>
      </w:pPr>
      <w:r>
        <w:separator/>
      </w:r>
    </w:p>
  </w:footnote>
  <w:footnote w:type="continuationSeparator" w:id="0">
    <w:p w14:paraId="25172651" w14:textId="77777777" w:rsidR="00545031" w:rsidRDefault="0054503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B7C87" w:rsidRPr="006A10C4" w14:paraId="6AEFD65D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7B8561" w14:textId="77777777" w:rsidR="005B7C87" w:rsidRPr="006A10C4" w:rsidRDefault="005B7C87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0B8A683" w14:textId="77777777" w:rsidR="005B7C87" w:rsidRPr="006A10C4" w:rsidRDefault="005B7C87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6D8EC59" w14:textId="77777777" w:rsidR="005B7C87" w:rsidRPr="006A10C4" w:rsidRDefault="005B7C87" w:rsidP="006A10C4">
          <w:pPr>
            <w:pStyle w:val="Druhdokumentu"/>
            <w:spacing w:after="0"/>
          </w:pPr>
        </w:p>
      </w:tc>
    </w:tr>
  </w:tbl>
  <w:p w14:paraId="0DFFAB4B" w14:textId="77777777" w:rsidR="005B7C87" w:rsidRPr="00D6163D" w:rsidRDefault="005B7C87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B7C87" w:rsidRPr="006A10C4" w14:paraId="156237A8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41F9FDA" w14:textId="77777777" w:rsidR="005B7C87" w:rsidRPr="006A10C4" w:rsidRDefault="005B7C8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4440B2" w14:textId="77476451" w:rsidR="005B7C87" w:rsidRPr="006A10C4" w:rsidRDefault="005B7C87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7EE120D0" wp14:editId="16092118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1729F9E" w14:textId="77777777" w:rsidR="005B7C87" w:rsidRPr="006A10C4" w:rsidRDefault="005B7C87" w:rsidP="006A10C4">
          <w:pPr>
            <w:pStyle w:val="Druhdokumentu"/>
            <w:spacing w:after="0"/>
          </w:pPr>
        </w:p>
      </w:tc>
    </w:tr>
    <w:tr w:rsidR="005B7C87" w:rsidRPr="006A10C4" w14:paraId="53C3B1EF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73FDF7E7" w14:textId="77777777" w:rsidR="005B7C87" w:rsidRPr="006A10C4" w:rsidRDefault="005B7C8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1C4AE2" w14:textId="77777777" w:rsidR="005B7C87" w:rsidRPr="006A10C4" w:rsidRDefault="005B7C87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571A494" w14:textId="77777777" w:rsidR="005B7C87" w:rsidRPr="006A10C4" w:rsidRDefault="005B7C87" w:rsidP="006A10C4">
          <w:pPr>
            <w:pStyle w:val="Druhdokumentu"/>
            <w:spacing w:after="0"/>
          </w:pPr>
        </w:p>
      </w:tc>
    </w:tr>
  </w:tbl>
  <w:p w14:paraId="158DF472" w14:textId="77777777" w:rsidR="005B7C87" w:rsidRPr="00D6163D" w:rsidRDefault="005B7C87" w:rsidP="00FC6389">
    <w:pPr>
      <w:pStyle w:val="Zhlav"/>
      <w:rPr>
        <w:sz w:val="8"/>
        <w:szCs w:val="8"/>
      </w:rPr>
    </w:pPr>
  </w:p>
  <w:p w14:paraId="01E76BFF" w14:textId="77777777" w:rsidR="005B7C87" w:rsidRPr="00460660" w:rsidRDefault="005B7C8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7BBAEC2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3D1811D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588"/>
        </w:tabs>
        <w:ind w:left="1588" w:hanging="73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FCD86D12"/>
    <w:lvl w:ilvl="0">
      <w:start w:val="1"/>
      <w:numFmt w:val="lowerLetter"/>
      <w:pStyle w:val="Odstavec1-1a"/>
      <w:lvlText w:val="%1)"/>
      <w:lvlJc w:val="left"/>
      <w:pPr>
        <w:tabs>
          <w:tab w:val="num" w:pos="1928"/>
        </w:tabs>
        <w:ind w:left="1928" w:hanging="34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2382"/>
        </w:tabs>
        <w:ind w:left="2382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2779"/>
        </w:tabs>
        <w:ind w:left="2779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892"/>
        </w:tabs>
        <w:ind w:left="2892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927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 w:numId="38">
    <w:abstractNumId w:val="3"/>
  </w:num>
  <w:num w:numId="39">
    <w:abstractNumId w:val="3"/>
  </w:num>
  <w:num w:numId="40">
    <w:abstractNumId w:val="3"/>
  </w:num>
  <w:num w:numId="41">
    <w:abstractNumId w:val="3"/>
  </w:num>
  <w:num w:numId="42">
    <w:abstractNumId w:val="3"/>
  </w:num>
  <w:num w:numId="43">
    <w:abstractNumId w:val="3"/>
  </w:num>
  <w:num w:numId="44">
    <w:abstractNumId w:val="3"/>
  </w:num>
  <w:num w:numId="45">
    <w:abstractNumId w:val="3"/>
  </w:num>
  <w:num w:numId="46">
    <w:abstractNumId w:val="3"/>
  </w:num>
  <w:num w:numId="47">
    <w:abstractNumId w:val="3"/>
  </w:num>
  <w:num w:numId="48">
    <w:abstractNumId w:val="3"/>
  </w:num>
  <w:num w:numId="49">
    <w:abstractNumId w:val="3"/>
  </w:num>
  <w:num w:numId="50">
    <w:abstractNumId w:val="3"/>
  </w:num>
  <w:num w:numId="51">
    <w:abstractNumId w:val="3"/>
  </w:num>
  <w:num w:numId="52">
    <w:abstractNumId w:val="3"/>
  </w:num>
  <w:num w:numId="53">
    <w:abstractNumId w:val="3"/>
  </w:num>
  <w:num w:numId="54">
    <w:abstractNumId w:val="3"/>
  </w:num>
  <w:num w:numId="55">
    <w:abstractNumId w:val="3"/>
  </w:num>
  <w:num w:numId="56">
    <w:abstractNumId w:val="3"/>
  </w:num>
  <w:num w:numId="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567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12EC4"/>
    <w:rsid w:val="000145C8"/>
    <w:rsid w:val="00017F3C"/>
    <w:rsid w:val="00041EC8"/>
    <w:rsid w:val="00054FC6"/>
    <w:rsid w:val="0006465A"/>
    <w:rsid w:val="0006588D"/>
    <w:rsid w:val="00067A5E"/>
    <w:rsid w:val="00067EA3"/>
    <w:rsid w:val="000719BB"/>
    <w:rsid w:val="00072A65"/>
    <w:rsid w:val="00072C1E"/>
    <w:rsid w:val="00076B14"/>
    <w:rsid w:val="0008461A"/>
    <w:rsid w:val="00084867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22084"/>
    <w:rsid w:val="00130E62"/>
    <w:rsid w:val="00130EEE"/>
    <w:rsid w:val="00146BCB"/>
    <w:rsid w:val="0015027B"/>
    <w:rsid w:val="00153B6C"/>
    <w:rsid w:val="001656A2"/>
    <w:rsid w:val="00170EC5"/>
    <w:rsid w:val="001747C1"/>
    <w:rsid w:val="00177D6B"/>
    <w:rsid w:val="00183913"/>
    <w:rsid w:val="00186B9C"/>
    <w:rsid w:val="00191F90"/>
    <w:rsid w:val="001A3B3C"/>
    <w:rsid w:val="001B033A"/>
    <w:rsid w:val="001B4180"/>
    <w:rsid w:val="001B4E74"/>
    <w:rsid w:val="001B7668"/>
    <w:rsid w:val="001C284E"/>
    <w:rsid w:val="001C645F"/>
    <w:rsid w:val="001E678E"/>
    <w:rsid w:val="001F569D"/>
    <w:rsid w:val="002007BA"/>
    <w:rsid w:val="002038C9"/>
    <w:rsid w:val="00205230"/>
    <w:rsid w:val="002071BB"/>
    <w:rsid w:val="00207DF5"/>
    <w:rsid w:val="00232000"/>
    <w:rsid w:val="00240B81"/>
    <w:rsid w:val="00240E11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35BE"/>
    <w:rsid w:val="00276AFE"/>
    <w:rsid w:val="002A3B57"/>
    <w:rsid w:val="002B6B58"/>
    <w:rsid w:val="002C0924"/>
    <w:rsid w:val="002C31BF"/>
    <w:rsid w:val="002D2102"/>
    <w:rsid w:val="002D5B86"/>
    <w:rsid w:val="002D7FD6"/>
    <w:rsid w:val="002E0CD7"/>
    <w:rsid w:val="002E0CFB"/>
    <w:rsid w:val="002E5C7B"/>
    <w:rsid w:val="002F3CF3"/>
    <w:rsid w:val="002F4333"/>
    <w:rsid w:val="002F50C1"/>
    <w:rsid w:val="00304DAF"/>
    <w:rsid w:val="00306180"/>
    <w:rsid w:val="00307207"/>
    <w:rsid w:val="00311165"/>
    <w:rsid w:val="003130A4"/>
    <w:rsid w:val="003146D3"/>
    <w:rsid w:val="003162CA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1565"/>
    <w:rsid w:val="0036531E"/>
    <w:rsid w:val="00373D53"/>
    <w:rsid w:val="0037545D"/>
    <w:rsid w:val="00376246"/>
    <w:rsid w:val="00377F85"/>
    <w:rsid w:val="00386FF1"/>
    <w:rsid w:val="00392EB6"/>
    <w:rsid w:val="003956C6"/>
    <w:rsid w:val="003A5939"/>
    <w:rsid w:val="003B111D"/>
    <w:rsid w:val="003C33F2"/>
    <w:rsid w:val="003C6679"/>
    <w:rsid w:val="003D4F68"/>
    <w:rsid w:val="003D756E"/>
    <w:rsid w:val="003D7905"/>
    <w:rsid w:val="003E420D"/>
    <w:rsid w:val="003E4C13"/>
    <w:rsid w:val="004078F3"/>
    <w:rsid w:val="0042581E"/>
    <w:rsid w:val="00427794"/>
    <w:rsid w:val="00446218"/>
    <w:rsid w:val="00450F07"/>
    <w:rsid w:val="00453CD3"/>
    <w:rsid w:val="004550ED"/>
    <w:rsid w:val="00460660"/>
    <w:rsid w:val="00463BD5"/>
    <w:rsid w:val="00464BA9"/>
    <w:rsid w:val="0048341C"/>
    <w:rsid w:val="00483969"/>
    <w:rsid w:val="00486107"/>
    <w:rsid w:val="00491827"/>
    <w:rsid w:val="004C4399"/>
    <w:rsid w:val="004C787C"/>
    <w:rsid w:val="004D7D8C"/>
    <w:rsid w:val="004E7A1F"/>
    <w:rsid w:val="004F4B9B"/>
    <w:rsid w:val="004F70CD"/>
    <w:rsid w:val="004F7DDE"/>
    <w:rsid w:val="00500C8E"/>
    <w:rsid w:val="0050666E"/>
    <w:rsid w:val="00507F08"/>
    <w:rsid w:val="00511AB9"/>
    <w:rsid w:val="005172C5"/>
    <w:rsid w:val="00523BB5"/>
    <w:rsid w:val="00523EA7"/>
    <w:rsid w:val="00531CB9"/>
    <w:rsid w:val="005403D3"/>
    <w:rsid w:val="005406EB"/>
    <w:rsid w:val="00544296"/>
    <w:rsid w:val="00545031"/>
    <w:rsid w:val="00545AD1"/>
    <w:rsid w:val="00546E89"/>
    <w:rsid w:val="00553375"/>
    <w:rsid w:val="00555884"/>
    <w:rsid w:val="005736B7"/>
    <w:rsid w:val="00575E5A"/>
    <w:rsid w:val="00576A07"/>
    <w:rsid w:val="00580245"/>
    <w:rsid w:val="0058742A"/>
    <w:rsid w:val="00590B8A"/>
    <w:rsid w:val="005A0AB5"/>
    <w:rsid w:val="005A1F44"/>
    <w:rsid w:val="005B27AC"/>
    <w:rsid w:val="005B7C87"/>
    <w:rsid w:val="005C5372"/>
    <w:rsid w:val="005D3C39"/>
    <w:rsid w:val="005D7706"/>
    <w:rsid w:val="005F0E69"/>
    <w:rsid w:val="00601A8C"/>
    <w:rsid w:val="0061068E"/>
    <w:rsid w:val="006115D3"/>
    <w:rsid w:val="006149D2"/>
    <w:rsid w:val="00614E71"/>
    <w:rsid w:val="006208DF"/>
    <w:rsid w:val="00651CD0"/>
    <w:rsid w:val="00655976"/>
    <w:rsid w:val="0065610E"/>
    <w:rsid w:val="00660AD3"/>
    <w:rsid w:val="00662818"/>
    <w:rsid w:val="006776B6"/>
    <w:rsid w:val="00680766"/>
    <w:rsid w:val="0069136C"/>
    <w:rsid w:val="00693150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314D"/>
    <w:rsid w:val="006E73EC"/>
    <w:rsid w:val="006F07C0"/>
    <w:rsid w:val="007020E6"/>
    <w:rsid w:val="00710193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1620"/>
    <w:rsid w:val="0076286B"/>
    <w:rsid w:val="00766846"/>
    <w:rsid w:val="0076790E"/>
    <w:rsid w:val="00770601"/>
    <w:rsid w:val="00773CB0"/>
    <w:rsid w:val="0077673A"/>
    <w:rsid w:val="00776C2B"/>
    <w:rsid w:val="00780ED1"/>
    <w:rsid w:val="007846E1"/>
    <w:rsid w:val="007847D6"/>
    <w:rsid w:val="0079028E"/>
    <w:rsid w:val="007A19C9"/>
    <w:rsid w:val="007A202B"/>
    <w:rsid w:val="007A5172"/>
    <w:rsid w:val="007A67A0"/>
    <w:rsid w:val="007A6FED"/>
    <w:rsid w:val="007B133E"/>
    <w:rsid w:val="007B502B"/>
    <w:rsid w:val="007B570C"/>
    <w:rsid w:val="007B5FD9"/>
    <w:rsid w:val="007C0C8F"/>
    <w:rsid w:val="007E4A6E"/>
    <w:rsid w:val="007F4890"/>
    <w:rsid w:val="007F56A7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46BE"/>
    <w:rsid w:val="00826B7B"/>
    <w:rsid w:val="0083197D"/>
    <w:rsid w:val="00834146"/>
    <w:rsid w:val="00846789"/>
    <w:rsid w:val="00887F36"/>
    <w:rsid w:val="00890A4F"/>
    <w:rsid w:val="00891D37"/>
    <w:rsid w:val="008A01EA"/>
    <w:rsid w:val="008A3568"/>
    <w:rsid w:val="008A4FE4"/>
    <w:rsid w:val="008C24A8"/>
    <w:rsid w:val="008C50F3"/>
    <w:rsid w:val="008C51A4"/>
    <w:rsid w:val="008C70E7"/>
    <w:rsid w:val="008C7EFE"/>
    <w:rsid w:val="008D03B9"/>
    <w:rsid w:val="008D30C7"/>
    <w:rsid w:val="008D7D0F"/>
    <w:rsid w:val="008E25F2"/>
    <w:rsid w:val="008F18D6"/>
    <w:rsid w:val="008F289B"/>
    <w:rsid w:val="008F2C9B"/>
    <w:rsid w:val="008F5F18"/>
    <w:rsid w:val="008F797B"/>
    <w:rsid w:val="009038CE"/>
    <w:rsid w:val="00904780"/>
    <w:rsid w:val="0090635B"/>
    <w:rsid w:val="00914F81"/>
    <w:rsid w:val="00922385"/>
    <w:rsid w:val="009223DF"/>
    <w:rsid w:val="009226C1"/>
    <w:rsid w:val="00923406"/>
    <w:rsid w:val="00935987"/>
    <w:rsid w:val="00936091"/>
    <w:rsid w:val="00940D8A"/>
    <w:rsid w:val="00950944"/>
    <w:rsid w:val="00953358"/>
    <w:rsid w:val="00957F1F"/>
    <w:rsid w:val="00962258"/>
    <w:rsid w:val="009628A4"/>
    <w:rsid w:val="009678B7"/>
    <w:rsid w:val="0097239D"/>
    <w:rsid w:val="00977D4B"/>
    <w:rsid w:val="00980B51"/>
    <w:rsid w:val="00981CB3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E67C4"/>
    <w:rsid w:val="009F25DD"/>
    <w:rsid w:val="009F309B"/>
    <w:rsid w:val="009F392E"/>
    <w:rsid w:val="009F53C5"/>
    <w:rsid w:val="009F5D79"/>
    <w:rsid w:val="00A04D7F"/>
    <w:rsid w:val="00A0740E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5EEF"/>
    <w:rsid w:val="00A66136"/>
    <w:rsid w:val="00A707EE"/>
    <w:rsid w:val="00A71189"/>
    <w:rsid w:val="00A7364A"/>
    <w:rsid w:val="00A74DCC"/>
    <w:rsid w:val="00A753ED"/>
    <w:rsid w:val="00A77512"/>
    <w:rsid w:val="00A8227E"/>
    <w:rsid w:val="00A94C2F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831"/>
    <w:rsid w:val="00AD5F1A"/>
    <w:rsid w:val="00AD6731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60FA8"/>
    <w:rsid w:val="00B75EE1"/>
    <w:rsid w:val="00B77481"/>
    <w:rsid w:val="00B80816"/>
    <w:rsid w:val="00B82624"/>
    <w:rsid w:val="00B8518B"/>
    <w:rsid w:val="00B861EA"/>
    <w:rsid w:val="00B86A69"/>
    <w:rsid w:val="00B93566"/>
    <w:rsid w:val="00B95AB6"/>
    <w:rsid w:val="00B97CC3"/>
    <w:rsid w:val="00BC0405"/>
    <w:rsid w:val="00BC06C4"/>
    <w:rsid w:val="00BC51B8"/>
    <w:rsid w:val="00BD04EB"/>
    <w:rsid w:val="00BD76C3"/>
    <w:rsid w:val="00BD7E91"/>
    <w:rsid w:val="00BD7F0D"/>
    <w:rsid w:val="00BE06DC"/>
    <w:rsid w:val="00BE7F2F"/>
    <w:rsid w:val="00BF0E2B"/>
    <w:rsid w:val="00BF2861"/>
    <w:rsid w:val="00BF54FE"/>
    <w:rsid w:val="00C02D0A"/>
    <w:rsid w:val="00C03A6E"/>
    <w:rsid w:val="00C13860"/>
    <w:rsid w:val="00C226C0"/>
    <w:rsid w:val="00C24A6A"/>
    <w:rsid w:val="00C30CA8"/>
    <w:rsid w:val="00C405CC"/>
    <w:rsid w:val="00C42FE6"/>
    <w:rsid w:val="00C44F6A"/>
    <w:rsid w:val="00C51B48"/>
    <w:rsid w:val="00C54EE1"/>
    <w:rsid w:val="00C55BE9"/>
    <w:rsid w:val="00C6198E"/>
    <w:rsid w:val="00C708EA"/>
    <w:rsid w:val="00C71821"/>
    <w:rsid w:val="00C73385"/>
    <w:rsid w:val="00C778A5"/>
    <w:rsid w:val="00C80AE3"/>
    <w:rsid w:val="00C86957"/>
    <w:rsid w:val="00C90DBF"/>
    <w:rsid w:val="00C95162"/>
    <w:rsid w:val="00C96445"/>
    <w:rsid w:val="00CB6A37"/>
    <w:rsid w:val="00CB7684"/>
    <w:rsid w:val="00CC7C8F"/>
    <w:rsid w:val="00CD1FC4"/>
    <w:rsid w:val="00CF1D0E"/>
    <w:rsid w:val="00D034A0"/>
    <w:rsid w:val="00D038A7"/>
    <w:rsid w:val="00D0732C"/>
    <w:rsid w:val="00D178B4"/>
    <w:rsid w:val="00D21061"/>
    <w:rsid w:val="00D322B7"/>
    <w:rsid w:val="00D4108E"/>
    <w:rsid w:val="00D42198"/>
    <w:rsid w:val="00D521D0"/>
    <w:rsid w:val="00D56FCA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244E"/>
    <w:rsid w:val="00E16FF7"/>
    <w:rsid w:val="00E1732F"/>
    <w:rsid w:val="00E26D68"/>
    <w:rsid w:val="00E40A79"/>
    <w:rsid w:val="00E44045"/>
    <w:rsid w:val="00E618C4"/>
    <w:rsid w:val="00E6572E"/>
    <w:rsid w:val="00E7218A"/>
    <w:rsid w:val="00E73A06"/>
    <w:rsid w:val="00E84C3A"/>
    <w:rsid w:val="00E8567B"/>
    <w:rsid w:val="00E878EE"/>
    <w:rsid w:val="00EA6EC7"/>
    <w:rsid w:val="00EB104F"/>
    <w:rsid w:val="00EB46E5"/>
    <w:rsid w:val="00EC613E"/>
    <w:rsid w:val="00ED0703"/>
    <w:rsid w:val="00ED14BD"/>
    <w:rsid w:val="00EF1373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43B27"/>
    <w:rsid w:val="00F45607"/>
    <w:rsid w:val="00F4722B"/>
    <w:rsid w:val="00F54432"/>
    <w:rsid w:val="00F60DF5"/>
    <w:rsid w:val="00F659EB"/>
    <w:rsid w:val="00F66312"/>
    <w:rsid w:val="00F705D1"/>
    <w:rsid w:val="00F752C4"/>
    <w:rsid w:val="00F83AE6"/>
    <w:rsid w:val="00F84891"/>
    <w:rsid w:val="00F86BA6"/>
    <w:rsid w:val="00F8788B"/>
    <w:rsid w:val="00FB5DE8"/>
    <w:rsid w:val="00FB6342"/>
    <w:rsid w:val="00FB6E74"/>
    <w:rsid w:val="00FC6389"/>
    <w:rsid w:val="00FE2DED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1CF0DB"/>
  <w14:defaultImageDpi w14:val="32767"/>
  <w15:chartTrackingRefBased/>
  <w15:docId w15:val="{581B5C2E-3A02-4E6A-9AE5-983C15F69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autoRedefine/>
    <w:qFormat/>
    <w:rsid w:val="007F4890"/>
    <w:pPr>
      <w:numPr>
        <w:ilvl w:val="2"/>
        <w:numId w:val="36"/>
      </w:numPr>
      <w:tabs>
        <w:tab w:val="clear" w:pos="1588"/>
      </w:tabs>
      <w:spacing w:after="120"/>
      <w:ind w:left="907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link w:val="Text2-1"/>
    <w:rsid w:val="007F4890"/>
    <w:rPr>
      <w:sz w:val="18"/>
      <w:szCs w:val="18"/>
      <w:lang w:eastAsia="en-US"/>
    </w:rPr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F4890"/>
    <w:pPr>
      <w:spacing w:after="120"/>
      <w:ind w:left="851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uiPriority w:val="1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  <w:rPr>
      <w:sz w:val="18"/>
      <w:szCs w:val="18"/>
      <w:lang w:eastAsia="en-US"/>
    </w:rPr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link w:val="Textbezslovn"/>
    <w:rsid w:val="007F4890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2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yperlink" Target="https://www.szdc.cz/o-nas/vnitrni-predpisy-szd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EF7C69-08ED-46A3-9329-022FE0E38B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ZTP_R_VZOR_190904-B.dotx</Template>
  <TotalTime>309</TotalTime>
  <Pages>12</Pages>
  <Words>3810</Words>
  <Characters>22484</Characters>
  <Application>Microsoft Office Word</Application>
  <DocSecurity>0</DocSecurity>
  <Lines>187</Lines>
  <Paragraphs>52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26242</CharactersWithSpaces>
  <SharedDoc>false</SharedDoc>
  <HLinks>
    <vt:vector size="228" baseType="variant">
      <vt:variant>
        <vt:i4>3538996</vt:i4>
      </vt:variant>
      <vt:variant>
        <vt:i4>222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720905</vt:i4>
      </vt:variant>
      <vt:variant>
        <vt:i4>216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2293872</vt:i4>
      </vt:variant>
      <vt:variant>
        <vt:i4>213</vt:i4>
      </vt:variant>
      <vt:variant>
        <vt:i4>0</vt:i4>
      </vt:variant>
      <vt:variant>
        <vt:i4>5</vt:i4>
      </vt:variant>
      <vt:variant>
        <vt:lpwstr>https://typdok.tudc.cz/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Gregorová Elena, Ing.</cp:lastModifiedBy>
  <cp:revision>12</cp:revision>
  <cp:lastPrinted>2019-03-07T15:42:00Z</cp:lastPrinted>
  <dcterms:created xsi:type="dcterms:W3CDTF">2021-07-26T13:41:00Z</dcterms:created>
  <dcterms:modified xsi:type="dcterms:W3CDTF">2021-11-18T11:37:00Z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